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01BBC8F6" w:rsidR="00B97E2E" w:rsidRPr="00B60C1C" w:rsidRDefault="00BD7507" w:rsidP="00B76831">
      <w:pPr>
        <w:pStyle w:val="Header"/>
        <w:jc w:val="both"/>
        <w:rPr>
          <w:bCs/>
          <w:noProof w:val="0"/>
          <w:sz w:val="24"/>
          <w:szCs w:val="24"/>
        </w:rPr>
      </w:pPr>
      <w:bookmarkStart w:id="0" w:name="_Hlk127181255"/>
      <w:bookmarkStart w:id="1" w:name="_Toc193024528"/>
      <w:bookmarkEnd w:id="0"/>
      <w:r w:rsidRPr="0031740C">
        <w:rPr>
          <w:rFonts w:cs="Arial"/>
          <w:bCs/>
          <w:sz w:val="24"/>
          <w:szCs w:val="18"/>
        </w:rPr>
        <w:t xml:space="preserve">3GPP TSG RAN WG1 </w:t>
      </w:r>
      <w:r w:rsidR="004A1F47" w:rsidRPr="0031740C">
        <w:rPr>
          <w:rFonts w:cs="Arial"/>
          <w:bCs/>
          <w:sz w:val="24"/>
          <w:szCs w:val="18"/>
        </w:rPr>
        <w:t xml:space="preserve">Meeting </w:t>
      </w:r>
      <w:r w:rsidRPr="0031740C">
        <w:rPr>
          <w:rFonts w:cs="Arial"/>
          <w:bCs/>
          <w:sz w:val="24"/>
          <w:szCs w:val="18"/>
        </w:rPr>
        <w:t>#1</w:t>
      </w:r>
      <w:r w:rsidR="00B07A21" w:rsidRPr="0031740C">
        <w:rPr>
          <w:rFonts w:cs="Arial"/>
          <w:bCs/>
          <w:sz w:val="24"/>
          <w:szCs w:val="18"/>
        </w:rPr>
        <w:t>1</w:t>
      </w:r>
      <w:r w:rsidR="0094742F">
        <w:rPr>
          <w:rFonts w:cs="Arial"/>
          <w:bCs/>
          <w:sz w:val="24"/>
          <w:szCs w:val="18"/>
        </w:rPr>
        <w:t>2</w:t>
      </w:r>
      <w:r w:rsidR="00686F33" w:rsidRPr="0031740C">
        <w:rPr>
          <w:rFonts w:cs="Arial"/>
          <w:bCs/>
          <w:sz w:val="24"/>
          <w:szCs w:val="18"/>
        </w:rPr>
        <w:t xml:space="preserve">  </w:t>
      </w:r>
      <w:r w:rsidR="00B97E2E" w:rsidRPr="0031740C">
        <w:rPr>
          <w:rFonts w:eastAsia="MS Mincho" w:cs="Arial"/>
          <w:bCs/>
          <w:sz w:val="24"/>
          <w:szCs w:val="18"/>
          <w:lang w:eastAsia="ja-JP"/>
        </w:rPr>
        <w:t xml:space="preserve"> </w:t>
      </w:r>
      <w:r w:rsidR="00DB7B12"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80399F"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9F4AE4"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DD715B">
        <w:rPr>
          <w:rFonts w:eastAsia="MS Mincho" w:cs="Arial"/>
          <w:bCs/>
          <w:sz w:val="24"/>
          <w:szCs w:val="18"/>
          <w:lang w:eastAsia="ja-JP"/>
        </w:rPr>
        <w:t xml:space="preserve">    </w:t>
      </w:r>
      <w:r w:rsidR="004B6675" w:rsidRPr="004B6675">
        <w:rPr>
          <w:rFonts w:cs="Arial"/>
          <w:bCs/>
          <w:sz w:val="24"/>
          <w:szCs w:val="18"/>
        </w:rPr>
        <w:t>R1-</w:t>
      </w:r>
      <w:r w:rsidR="00DD715B">
        <w:rPr>
          <w:rFonts w:cs="Arial"/>
          <w:bCs/>
          <w:sz w:val="24"/>
          <w:szCs w:val="18"/>
        </w:rPr>
        <w:t>230</w:t>
      </w:r>
      <w:r w:rsidR="00AA4DCA">
        <w:rPr>
          <w:rFonts w:cs="Arial"/>
          <w:bCs/>
          <w:sz w:val="24"/>
          <w:szCs w:val="18"/>
        </w:rPr>
        <w:t>1595</w:t>
      </w:r>
      <w:r w:rsidR="00B60C1C" w:rsidRPr="0031740C">
        <w:rPr>
          <w:rFonts w:cs="Arial"/>
          <w:bCs/>
          <w:sz w:val="24"/>
          <w:szCs w:val="28"/>
          <w:lang w:eastAsia="zh-TW"/>
        </w:rPr>
        <w:t xml:space="preserve"> </w:t>
      </w:r>
      <w:r w:rsidR="00786E5E">
        <w:rPr>
          <w:rFonts w:cs="Arial"/>
          <w:bCs/>
          <w:sz w:val="24"/>
          <w:szCs w:val="28"/>
          <w:lang w:eastAsia="zh-TW"/>
        </w:rPr>
        <w:t>Athens</w:t>
      </w:r>
      <w:r w:rsidR="00B60C1C" w:rsidRPr="0031740C">
        <w:rPr>
          <w:rFonts w:cs="Arial"/>
          <w:bCs/>
          <w:sz w:val="24"/>
          <w:szCs w:val="28"/>
          <w:lang w:eastAsia="zh-TW"/>
        </w:rPr>
        <w:t xml:space="preserve">, </w:t>
      </w:r>
      <w:r w:rsidR="00786E5E">
        <w:rPr>
          <w:rFonts w:cs="Arial"/>
          <w:bCs/>
          <w:sz w:val="24"/>
          <w:szCs w:val="28"/>
          <w:lang w:eastAsia="zh-TW"/>
        </w:rPr>
        <w:t>Gree</w:t>
      </w:r>
      <w:r w:rsidR="00B60C1C" w:rsidRPr="0031740C">
        <w:rPr>
          <w:rFonts w:cs="Arial"/>
          <w:bCs/>
          <w:sz w:val="24"/>
          <w:szCs w:val="28"/>
          <w:lang w:eastAsia="zh-TW"/>
        </w:rPr>
        <w:t xml:space="preserve">ce, </w:t>
      </w:r>
      <w:r w:rsidR="0094742F">
        <w:rPr>
          <w:rFonts w:cs="Arial"/>
          <w:bCs/>
          <w:sz w:val="24"/>
          <w:szCs w:val="28"/>
          <w:lang w:eastAsia="zh-TW"/>
        </w:rPr>
        <w:t>February</w:t>
      </w:r>
      <w:r w:rsidR="00B60C1C" w:rsidRPr="0031740C">
        <w:rPr>
          <w:rFonts w:cs="Arial"/>
          <w:bCs/>
          <w:sz w:val="24"/>
          <w:szCs w:val="28"/>
          <w:lang w:eastAsia="zh-TW"/>
        </w:rPr>
        <w:t xml:space="preserve"> </w:t>
      </w:r>
      <w:r w:rsidR="0094742F">
        <w:rPr>
          <w:rFonts w:cs="Arial"/>
          <w:bCs/>
          <w:sz w:val="24"/>
          <w:szCs w:val="28"/>
          <w:lang w:eastAsia="zh-TW"/>
        </w:rPr>
        <w:t>27</w:t>
      </w:r>
      <w:r w:rsidR="00B60C1C" w:rsidRPr="0031740C">
        <w:rPr>
          <w:rFonts w:cs="Arial"/>
          <w:bCs/>
          <w:sz w:val="24"/>
          <w:szCs w:val="28"/>
          <w:vertAlign w:val="superscript"/>
          <w:lang w:eastAsia="zh-TW"/>
        </w:rPr>
        <w:t>th</w:t>
      </w:r>
      <w:r w:rsidR="00B60C1C" w:rsidRPr="0031740C">
        <w:rPr>
          <w:rFonts w:cs="Arial"/>
          <w:bCs/>
          <w:sz w:val="24"/>
          <w:szCs w:val="28"/>
          <w:lang w:eastAsia="zh-TW"/>
        </w:rPr>
        <w:t xml:space="preserve"> – </w:t>
      </w:r>
      <w:r w:rsidR="0094742F">
        <w:rPr>
          <w:rFonts w:cs="Arial"/>
          <w:bCs/>
          <w:sz w:val="24"/>
          <w:szCs w:val="28"/>
          <w:lang w:eastAsia="zh-TW"/>
        </w:rPr>
        <w:t>March 3</w:t>
      </w:r>
      <w:r w:rsidR="0094742F">
        <w:rPr>
          <w:rFonts w:cs="Arial"/>
          <w:bCs/>
          <w:sz w:val="24"/>
          <w:szCs w:val="28"/>
          <w:vertAlign w:val="superscript"/>
          <w:lang w:eastAsia="zh-TW"/>
        </w:rPr>
        <w:t>rd</w:t>
      </w:r>
      <w:r w:rsidR="00B60C1C" w:rsidRPr="0031740C">
        <w:rPr>
          <w:bCs/>
          <w:noProof w:val="0"/>
          <w:sz w:val="24"/>
          <w:szCs w:val="24"/>
        </w:rPr>
        <w:t>, 202</w:t>
      </w:r>
      <w:r w:rsidR="0094742F">
        <w:rPr>
          <w:bCs/>
          <w:noProof w:val="0"/>
          <w:sz w:val="24"/>
          <w:szCs w:val="24"/>
        </w:rPr>
        <w:t>3</w:t>
      </w:r>
    </w:p>
    <w:p w14:paraId="72B20ADD" w14:textId="77777777" w:rsidR="00CD549E" w:rsidRPr="001B1D5E" w:rsidRDefault="00D433E2" w:rsidP="00B76831">
      <w:pPr>
        <w:pStyle w:val="Header"/>
        <w:tabs>
          <w:tab w:val="left" w:pos="6521"/>
        </w:tabs>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B76831">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B1D5E">
        <w:rPr>
          <w:rFonts w:ascii="Arial" w:eastAsia="PMingLiU" w:hAnsi="Arial"/>
          <w:color w:val="000000"/>
          <w:sz w:val="24"/>
          <w:lang w:val="en-GB" w:eastAsia="zh-TW"/>
        </w:rPr>
        <w:t>9</w:t>
      </w:r>
      <w:r w:rsidR="0089724A"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AF4809"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B76831">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B1D5E">
        <w:rPr>
          <w:rFonts w:ascii="Arial" w:eastAsia="PMingLiU" w:hAnsi="Arial"/>
          <w:sz w:val="24"/>
          <w:lang w:val="en-GB" w:eastAsia="zh-TW"/>
        </w:rPr>
        <w:t>Media</w:t>
      </w:r>
      <w:r w:rsidR="00E509D2" w:rsidRPr="001B1D5E">
        <w:rPr>
          <w:rFonts w:ascii="Arial" w:eastAsia="PMingLiU" w:hAnsi="Arial"/>
          <w:sz w:val="24"/>
          <w:lang w:val="en-GB" w:eastAsia="zh-TW"/>
        </w:rPr>
        <w:t>T</w:t>
      </w:r>
      <w:r w:rsidR="00E0326F" w:rsidRPr="001B1D5E">
        <w:rPr>
          <w:rFonts w:ascii="Arial" w:eastAsia="PMingLiU" w:hAnsi="Arial"/>
          <w:sz w:val="24"/>
          <w:lang w:val="en-GB" w:eastAsia="zh-TW"/>
        </w:rPr>
        <w:t>ek</w:t>
      </w:r>
      <w:r w:rsidR="00E509D2" w:rsidRPr="001B1D5E">
        <w:rPr>
          <w:rFonts w:ascii="Arial" w:eastAsia="PMingLiU" w:hAnsi="Arial"/>
          <w:sz w:val="24"/>
          <w:lang w:val="en-GB" w:eastAsia="zh-TW"/>
        </w:rPr>
        <w:t xml:space="preserve"> Inc.</w:t>
      </w:r>
    </w:p>
    <w:p w14:paraId="137E01E1" w14:textId="582B905B" w:rsidR="00876D09" w:rsidRPr="001B1D5E" w:rsidRDefault="0004296E" w:rsidP="00B76831">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6195B" w:rsidRPr="001B1D5E">
        <w:rPr>
          <w:rFonts w:ascii="Arial" w:hAnsi="Arial"/>
          <w:sz w:val="24"/>
          <w:lang w:val="en-GB"/>
        </w:rPr>
        <w:t>Discussion on potential enhancements on dynamic/flexible TDD</w:t>
      </w:r>
    </w:p>
    <w:p w14:paraId="641AC211" w14:textId="10DB6176" w:rsidR="00CD549E" w:rsidRPr="001B1D5E" w:rsidRDefault="0004296E" w:rsidP="00B76831">
      <w:pPr>
        <w:pStyle w:val="NormalWeb"/>
        <w:spacing w:before="0" w:beforeAutospacing="0" w:after="0" w:afterAutospacing="0"/>
        <w:jc w:val="both"/>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B1D5E">
        <w:rPr>
          <w:rFonts w:ascii="Arial" w:hAnsi="Arial"/>
          <w:lang w:val="en-GB"/>
        </w:rPr>
        <w:t>Discussion</w:t>
      </w:r>
      <w:r w:rsidR="006A72FA" w:rsidRPr="001B1D5E">
        <w:rPr>
          <w:rFonts w:ascii="Arial" w:hAnsi="Arial"/>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B76831">
      <w:pPr>
        <w:pStyle w:val="Heading1"/>
        <w:jc w:val="both"/>
      </w:pPr>
      <w:r w:rsidRPr="001B1D5E">
        <w:t>Introduction</w:t>
      </w:r>
    </w:p>
    <w:p w14:paraId="376F8BF9" w14:textId="026F5CD3" w:rsidR="00FB7694" w:rsidRPr="001B1D5E" w:rsidRDefault="00B6635E" w:rsidP="00B76831">
      <w:pPr>
        <w:jc w:val="both"/>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B76831">
        <w:rPr>
          <w:lang w:val="en-GB"/>
        </w:rPr>
        <w:instrText xml:space="preserve"> \* MERGEFORMAT </w:instrText>
      </w:r>
      <w:r w:rsidR="000F57CC" w:rsidRPr="001B1D5E">
        <w:rPr>
          <w:lang w:val="en-GB"/>
        </w:rPr>
      </w:r>
      <w:r w:rsidR="000F57CC" w:rsidRPr="001B1D5E">
        <w:rPr>
          <w:lang w:val="en-GB"/>
        </w:rPr>
        <w:fldChar w:fldCharType="separate"/>
      </w:r>
      <w:r w:rsidR="0064000E">
        <w:rPr>
          <w:cs/>
          <w:lang w:val="en-GB"/>
        </w:rPr>
        <w:t>‎</w:t>
      </w:r>
      <w:r w:rsidR="0064000E">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B76831">
            <w:pPr>
              <w:numPr>
                <w:ilvl w:val="0"/>
                <w:numId w:val="16"/>
              </w:numPr>
              <w:adjustRightInd/>
              <w:spacing w:after="60"/>
              <w:jc w:val="both"/>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B76831">
            <w:pPr>
              <w:numPr>
                <w:ilvl w:val="0"/>
                <w:numId w:val="16"/>
              </w:numPr>
              <w:adjustRightInd/>
              <w:spacing w:after="60"/>
              <w:jc w:val="both"/>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B76831">
            <w:pPr>
              <w:numPr>
                <w:ilvl w:val="0"/>
                <w:numId w:val="16"/>
              </w:numPr>
              <w:adjustRightInd/>
              <w:spacing w:after="60"/>
              <w:jc w:val="both"/>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B76831">
            <w:pPr>
              <w:numPr>
                <w:ilvl w:val="2"/>
                <w:numId w:val="16"/>
              </w:numPr>
              <w:adjustRightInd/>
              <w:spacing w:after="60"/>
              <w:jc w:val="both"/>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61A3C0E4" w:rsidR="00EE5F29" w:rsidRPr="001B1D5E" w:rsidRDefault="00EE5F29" w:rsidP="00B76831">
            <w:pPr>
              <w:numPr>
                <w:ilvl w:val="1"/>
                <w:numId w:val="16"/>
              </w:numPr>
              <w:adjustRightInd/>
              <w:spacing w:after="60"/>
              <w:jc w:val="both"/>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r w:rsidR="0012147D" w:rsidRPr="001B1D5E">
              <w:rPr>
                <w:rFonts w:ascii="Times New Roman" w:hAnsi="Times New Roman"/>
                <w:lang w:val="en-GB"/>
              </w:rPr>
              <w:t>filtering,</w:t>
            </w:r>
            <w:r w:rsidRPr="001B1D5E">
              <w:rPr>
                <w:rFonts w:ascii="Times New Roman" w:hAnsi="Times New Roman"/>
                <w:lang w:val="en-GB"/>
              </w:rPr>
              <w:t xml:space="preserve"> and digital interference suppression.</w:t>
            </w:r>
          </w:p>
          <w:p w14:paraId="7F5CA5CB" w14:textId="3DCB66D7" w:rsidR="00EE5F29" w:rsidRPr="001B1D5E" w:rsidRDefault="00EE5F29" w:rsidP="00B76831">
            <w:pPr>
              <w:numPr>
                <w:ilvl w:val="1"/>
                <w:numId w:val="16"/>
              </w:numPr>
              <w:tabs>
                <w:tab w:val="num" w:pos="1500"/>
              </w:tabs>
              <w:overflowPunct/>
              <w:autoSpaceDE/>
              <w:autoSpaceDN/>
              <w:adjustRightInd/>
              <w:spacing w:after="60"/>
              <w:ind w:left="1500" w:hanging="420"/>
              <w:jc w:val="both"/>
              <w:textAlignment w:val="auto"/>
              <w:rPr>
                <w:rFonts w:ascii="Times New Roman" w:hAnsi="Times New Roman"/>
                <w:lang w:val="en-GB"/>
              </w:rPr>
            </w:pPr>
            <w:r w:rsidRPr="001B1D5E">
              <w:rPr>
                <w:rFonts w:ascii="Times New Roman" w:hAnsi="Times New Roman"/>
                <w:lang w:val="en-GB"/>
              </w:rPr>
              <w:t xml:space="preserve">Summarize the regulatory aspects that </w:t>
            </w:r>
            <w:proofErr w:type="gramStart"/>
            <w:r w:rsidRPr="001B1D5E">
              <w:rPr>
                <w:rFonts w:ascii="Times New Roman" w:hAnsi="Times New Roman"/>
                <w:lang w:val="en-GB"/>
              </w:rPr>
              <w:t>have to</w:t>
            </w:r>
            <w:proofErr w:type="gramEnd"/>
            <w:r w:rsidRPr="001B1D5E">
              <w:rPr>
                <w:rFonts w:ascii="Times New Roman" w:hAnsi="Times New Roman"/>
                <w:lang w:val="en-GB"/>
              </w:rPr>
              <w:t xml:space="preserve"> be considered for deploying the identified duplex enhancements in TDD unpaired spectrum (RAN4).</w:t>
            </w:r>
          </w:p>
        </w:tc>
      </w:tr>
    </w:tbl>
    <w:p w14:paraId="4D4E6B4D" w14:textId="20B310CC" w:rsidR="00041FAC" w:rsidRPr="001B1D5E" w:rsidRDefault="001A1A4F" w:rsidP="00B76831">
      <w:pPr>
        <w:spacing w:before="120"/>
        <w:jc w:val="both"/>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w:t>
      </w:r>
      <w:r w:rsidR="005C7670">
        <w:rPr>
          <w:lang w:val="en-GB"/>
        </w:rPr>
        <w:t>gNB</w:t>
      </w:r>
      <w:r w:rsidR="00CF57D3" w:rsidRPr="001B1D5E">
        <w:rPr>
          <w:lang w:val="en-GB"/>
        </w:rPr>
        <w:t xml:space="preserve">-gNB </w:t>
      </w:r>
      <w:r w:rsidR="00ED1AA8">
        <w:rPr>
          <w:lang w:val="en-GB"/>
        </w:rPr>
        <w:t xml:space="preserve">and inter-UE </w:t>
      </w:r>
      <w:r w:rsidR="00CF57D3" w:rsidRPr="001B1D5E">
        <w:rPr>
          <w:lang w:val="en-GB"/>
        </w:rPr>
        <w:t xml:space="preserve">cross-link interference </w:t>
      </w:r>
      <w:bookmarkEnd w:id="1"/>
      <w:r w:rsidR="00CF57D3" w:rsidRPr="001B1D5E">
        <w:rPr>
          <w:lang w:val="en-GB"/>
        </w:rPr>
        <w:t>(CLI)</w:t>
      </w:r>
      <w:r w:rsidR="00553176">
        <w:rPr>
          <w:lang w:val="en-GB"/>
        </w:rPr>
        <w:t xml:space="preserve"> for DTDD and SBFD operations</w:t>
      </w:r>
      <w:r w:rsidR="00CF57D3" w:rsidRPr="001B1D5E">
        <w:rPr>
          <w:lang w:val="en-GB"/>
        </w:rPr>
        <w:t xml:space="preserve">. </w:t>
      </w:r>
    </w:p>
    <w:p w14:paraId="2951F18E" w14:textId="02D57457" w:rsidR="00A3519E" w:rsidRPr="001B1D5E" w:rsidRDefault="008C77F5" w:rsidP="00B76831">
      <w:pPr>
        <w:pStyle w:val="Heading1"/>
        <w:jc w:val="both"/>
      </w:pPr>
      <w:r w:rsidRPr="001B1D5E">
        <w:t>Background</w:t>
      </w:r>
    </w:p>
    <w:p w14:paraId="32AD22F4" w14:textId="68EE05CD" w:rsidR="00ED1AA8" w:rsidRDefault="00EB16D8" w:rsidP="00B76831">
      <w:pPr>
        <w:jc w:val="both"/>
        <w:rPr>
          <w:color w:val="000000" w:themeColor="text1"/>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w:t>
      </w:r>
      <w:r w:rsidR="005C7670">
        <w:rPr>
          <w:color w:val="000000" w:themeColor="text1"/>
          <w:lang w:val="en-GB" w:eastAsia="zh-TW"/>
        </w:rPr>
        <w:t>gNB</w:t>
      </w:r>
      <w:r w:rsidRPr="001B1D5E">
        <w:rPr>
          <w:color w:val="000000" w:themeColor="text1"/>
          <w:lang w:val="en-GB" w:eastAsia="zh-TW"/>
        </w:rPr>
        <w:t>-gNB CLI), between UEs (</w:t>
      </w:r>
      <w:r w:rsidR="005C7670">
        <w:rPr>
          <w:color w:val="000000" w:themeColor="text1"/>
          <w:lang w:val="en-GB" w:eastAsia="zh-TW"/>
        </w:rPr>
        <w:t>UE</w:t>
      </w:r>
      <w:r w:rsidRPr="001B1D5E">
        <w:rPr>
          <w:color w:val="000000" w:themeColor="text1"/>
          <w:lang w:val="en-GB" w:eastAsia="zh-TW"/>
        </w:rPr>
        <w:t xml:space="preserve">-UE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B76831">
        <w:rPr>
          <w:color w:val="000000" w:themeColor="text1"/>
          <w:lang w:val="en-GB" w:eastAsia="zh-TW"/>
        </w:rPr>
        <w:instrText xml:space="preserve"> \* MERGEFORMAT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64000E" w:rsidRPr="00DB7B12">
        <w:rPr>
          <w:bCs/>
          <w:lang w:val="en-GB"/>
        </w:rPr>
        <w:t xml:space="preserve">Figure </w:t>
      </w:r>
      <w:r w:rsidR="0064000E" w:rsidRPr="0064000E">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w:t>
      </w:r>
      <w:r w:rsidR="00ED1AA8">
        <w:rPr>
          <w:color w:val="000000" w:themeColor="text1"/>
          <w:lang w:val="en-GB" w:eastAsia="zh-TW"/>
        </w:rPr>
        <w:t>The presence of CLI can be detrimental to the performance of both DTDD and SBFD. For example, i</w:t>
      </w:r>
      <w:r w:rsidR="00ED1AA8" w:rsidRPr="001B1D5E">
        <w:rPr>
          <w:color w:val="000000" w:themeColor="text1"/>
          <w:lang w:val="en-GB" w:eastAsia="zh-TW"/>
        </w:rPr>
        <w:t xml:space="preserve">nitial simulation results show up to 15% loss in UL spectral efficiency due to severe </w:t>
      </w:r>
      <w:r w:rsidR="005C7670">
        <w:rPr>
          <w:color w:val="000000" w:themeColor="text1"/>
          <w:lang w:val="en-GB" w:eastAsia="zh-TW"/>
        </w:rPr>
        <w:t>gNB</w:t>
      </w:r>
      <w:r w:rsidR="00ED1AA8" w:rsidRPr="001B1D5E">
        <w:rPr>
          <w:color w:val="000000" w:themeColor="text1"/>
          <w:lang w:val="en-GB" w:eastAsia="zh-TW"/>
        </w:rPr>
        <w:t xml:space="preserve">-gNB CLI in dense urban deployment </w:t>
      </w:r>
      <w:r w:rsidR="00ED1AA8" w:rsidRPr="001B1D5E">
        <w:rPr>
          <w:color w:val="000000" w:themeColor="text1"/>
          <w:lang w:val="en-GB" w:eastAsia="zh-TW"/>
        </w:rPr>
        <w:fldChar w:fldCharType="begin"/>
      </w:r>
      <w:r w:rsidR="00ED1AA8" w:rsidRPr="001B1D5E">
        <w:rPr>
          <w:color w:val="000000" w:themeColor="text1"/>
          <w:lang w:val="en-GB" w:eastAsia="zh-TW"/>
        </w:rPr>
        <w:instrText xml:space="preserve"> REF _Ref102064539 \n \h </w:instrText>
      </w:r>
      <w:r w:rsidR="00B76831">
        <w:rPr>
          <w:color w:val="000000" w:themeColor="text1"/>
          <w:lang w:val="en-GB" w:eastAsia="zh-TW"/>
        </w:rPr>
        <w:instrText xml:space="preserve"> \* MERGEFORMAT </w:instrText>
      </w:r>
      <w:r w:rsidR="00ED1AA8" w:rsidRPr="001B1D5E">
        <w:rPr>
          <w:color w:val="000000" w:themeColor="text1"/>
          <w:lang w:val="en-GB" w:eastAsia="zh-TW"/>
        </w:rPr>
      </w:r>
      <w:r w:rsidR="00ED1AA8" w:rsidRPr="001B1D5E">
        <w:rPr>
          <w:color w:val="000000" w:themeColor="text1"/>
          <w:lang w:val="en-GB" w:eastAsia="zh-TW"/>
        </w:rPr>
        <w:fldChar w:fldCharType="separate"/>
      </w:r>
      <w:r w:rsidR="0064000E">
        <w:rPr>
          <w:color w:val="000000" w:themeColor="text1"/>
          <w:cs/>
          <w:lang w:val="en-GB" w:eastAsia="zh-TW"/>
        </w:rPr>
        <w:t>‎</w:t>
      </w:r>
      <w:r w:rsidR="0064000E">
        <w:rPr>
          <w:color w:val="000000" w:themeColor="text1"/>
          <w:lang w:val="en-GB" w:eastAsia="zh-TW"/>
        </w:rPr>
        <w:t>[2]</w:t>
      </w:r>
      <w:r w:rsidR="00ED1AA8" w:rsidRPr="001B1D5E">
        <w:rPr>
          <w:color w:val="000000" w:themeColor="text1"/>
          <w:lang w:val="en-GB" w:eastAsia="zh-TW"/>
        </w:rPr>
        <w:fldChar w:fldCharType="end"/>
      </w:r>
      <w:r w:rsidR="00ED1AA8" w:rsidRPr="001B1D5E">
        <w:rPr>
          <w:color w:val="000000" w:themeColor="text1"/>
          <w:lang w:val="en-GB" w:eastAsia="zh-TW"/>
        </w:rPr>
        <w:t xml:space="preserve">. </w:t>
      </w:r>
      <w:r w:rsidR="00ED1AA8">
        <w:rPr>
          <w:color w:val="000000" w:themeColor="text1"/>
          <w:lang w:val="en-GB" w:eastAsia="zh-TW"/>
        </w:rPr>
        <w:t xml:space="preserve">Therefore, </w:t>
      </w:r>
      <w:r w:rsidR="005C7670">
        <w:rPr>
          <w:color w:val="000000" w:themeColor="text1"/>
          <w:lang w:val="en-GB" w:eastAsia="zh-TW"/>
        </w:rPr>
        <w:t xml:space="preserve">in this contribution we propose </w:t>
      </w:r>
      <w:r w:rsidR="00ED1AA8" w:rsidRPr="001B1D5E">
        <w:rPr>
          <w:color w:val="000000" w:themeColor="text1"/>
          <w:lang w:val="en-GB" w:eastAsia="zh-TW"/>
        </w:rPr>
        <w:t>techniques to handle CLI.</w:t>
      </w:r>
    </w:p>
    <w:p w14:paraId="48BC382E" w14:textId="77777777" w:rsidR="00ED1AA8" w:rsidRDefault="00ED1AA8" w:rsidP="00B76831">
      <w:pPr>
        <w:jc w:val="both"/>
        <w:rPr>
          <w:color w:val="000000" w:themeColor="text1"/>
          <w:lang w:val="en-GB" w:eastAsia="zh-TW"/>
        </w:rPr>
      </w:pPr>
    </w:p>
    <w:p w14:paraId="09155953" w14:textId="6AC54025" w:rsidR="00EB16D8" w:rsidRPr="001B1D5E" w:rsidRDefault="005E06BF" w:rsidP="00ED3CB1">
      <w:pPr>
        <w:pStyle w:val="ListParagraph"/>
        <w:ind w:firstLine="480"/>
        <w:jc w:val="center"/>
        <w:rPr>
          <w:color w:val="000000" w:themeColor="text1"/>
          <w:lang w:val="en-GB" w:eastAsia="zh-TW"/>
        </w:rPr>
      </w:pPr>
      <w:r w:rsidRPr="001B1D5E">
        <w:rPr>
          <w:noProof/>
          <w:lang w:val="en-GB"/>
        </w:rPr>
        <w:lastRenderedPageBreak/>
        <w:drawing>
          <wp:inline distT="0" distB="0" distL="0" distR="0" wp14:anchorId="2C3ACD25" wp14:editId="66A502FF">
            <wp:extent cx="5200650" cy="1880557"/>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5205781" cy="1882412"/>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65A93835" w:rsidR="006D398D" w:rsidRPr="00DB7B12" w:rsidRDefault="007F5C46" w:rsidP="0043198E">
      <w:pPr>
        <w:pStyle w:val="Caption"/>
        <w:spacing w:before="0"/>
        <w:jc w:val="center"/>
        <w:rPr>
          <w:rFonts w:eastAsiaTheme="minorEastAsia"/>
          <w:b w:val="0"/>
          <w:bCs/>
          <w:lang w:val="en-GB" w:eastAsia="zh-TW"/>
        </w:rPr>
      </w:pPr>
      <w:bookmarkStart w:id="2"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64000E">
        <w:rPr>
          <w:b w:val="0"/>
          <w:bCs/>
          <w:noProof/>
          <w:lang w:val="en-GB"/>
        </w:rPr>
        <w:t>1</w:t>
      </w:r>
      <w:r w:rsidR="000C45A6" w:rsidRPr="00DB7B12">
        <w:rPr>
          <w:b w:val="0"/>
          <w:bCs/>
          <w:noProof/>
          <w:lang w:val="en-GB"/>
        </w:rPr>
        <w:fldChar w:fldCharType="end"/>
      </w:r>
      <w:bookmarkEnd w:id="2"/>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4E8BF533" w:rsidR="00CD1F25" w:rsidRPr="001B1D5E" w:rsidRDefault="005C7670" w:rsidP="00B76831">
      <w:pPr>
        <w:pStyle w:val="Heading1"/>
        <w:jc w:val="both"/>
      </w:pPr>
      <w:r>
        <w:t>gNB</w:t>
      </w:r>
      <w:r w:rsidR="0085422F" w:rsidRPr="001B1D5E">
        <w:t xml:space="preserve">-gNB CLI </w:t>
      </w:r>
      <w:r w:rsidR="00EA12D5">
        <w:t xml:space="preserve">Handling </w:t>
      </w:r>
    </w:p>
    <w:p w14:paraId="51FCED17" w14:textId="4B8B6D9E" w:rsidR="00EA12D5" w:rsidRDefault="00EA12D5" w:rsidP="00B76831">
      <w:pPr>
        <w:pStyle w:val="Heading2"/>
        <w:jc w:val="both"/>
      </w:pPr>
      <w:r>
        <w:rPr>
          <w:lang w:val="en-US"/>
        </w:rPr>
        <w:t xml:space="preserve">Uplink </w:t>
      </w:r>
      <w:r w:rsidR="006E5DE4">
        <w:rPr>
          <w:lang w:val="en-US"/>
        </w:rPr>
        <w:t>p</w:t>
      </w:r>
      <w:r>
        <w:rPr>
          <w:lang w:val="en-US"/>
        </w:rPr>
        <w:t xml:space="preserve">ower </w:t>
      </w:r>
      <w:r w:rsidR="006E5DE4">
        <w:rPr>
          <w:lang w:val="en-US"/>
        </w:rPr>
        <w:t>b</w:t>
      </w:r>
      <w:r>
        <w:rPr>
          <w:lang w:val="en-US"/>
        </w:rPr>
        <w:t xml:space="preserve">oosting </w:t>
      </w:r>
    </w:p>
    <w:p w14:paraId="45108847" w14:textId="0D901574" w:rsidR="0048210F" w:rsidRPr="001B1D5E" w:rsidRDefault="0048210F" w:rsidP="00B76831">
      <w:pPr>
        <w:jc w:val="both"/>
        <w:rPr>
          <w:lang w:val="en-GB"/>
        </w:rPr>
      </w:pPr>
      <w:r w:rsidRPr="001B1D5E">
        <w:rPr>
          <w:lang w:val="en-GB"/>
        </w:rPr>
        <w:t xml:space="preserve">UL power boosting </w:t>
      </w:r>
      <w:r w:rsidR="00B6139B">
        <w:rPr>
          <w:lang w:val="en-GB"/>
        </w:rPr>
        <w:t xml:space="preserve">can be employed </w:t>
      </w:r>
      <w:r w:rsidR="005649EC" w:rsidRPr="001B1D5E">
        <w:rPr>
          <w:lang w:val="en-GB"/>
        </w:rPr>
        <w:t xml:space="preserve">as a mechanism for handling the problem of </w:t>
      </w:r>
      <w:r w:rsidR="00B6139B">
        <w:rPr>
          <w:lang w:val="en-GB"/>
        </w:rPr>
        <w:t>gNB</w:t>
      </w:r>
      <w:r w:rsidR="005649EC" w:rsidRPr="001B1D5E">
        <w:rPr>
          <w:lang w:val="en-GB"/>
        </w:rPr>
        <w:t>-gNB CLI in DTDD and SBFD systems.</w:t>
      </w:r>
      <w:r w:rsidR="00B6139B">
        <w:rPr>
          <w:lang w:val="en-GB"/>
        </w:rPr>
        <w:t xml:space="preserve"> This is because</w:t>
      </w:r>
      <w:r w:rsidR="005649EC" w:rsidRPr="001B1D5E">
        <w:rPr>
          <w:lang w:val="en-GB"/>
        </w:rPr>
        <w:t xml:space="preserve">, UE transmit power boosting can help to increase UL SINR at a victim gNB in the presence of </w:t>
      </w:r>
      <w:r w:rsidR="00B6139B">
        <w:rPr>
          <w:lang w:val="en-GB"/>
        </w:rPr>
        <w:t>gNB</w:t>
      </w:r>
      <w:r w:rsidR="005649EC" w:rsidRPr="001B1D5E">
        <w:rPr>
          <w:lang w:val="en-GB"/>
        </w:rPr>
        <w:t xml:space="preserve">-gNB CLI. </w:t>
      </w:r>
      <w:r w:rsidR="003073CD" w:rsidRPr="001B1D5E">
        <w:rPr>
          <w:lang w:val="en-GB"/>
        </w:rPr>
        <w:t>I</w:t>
      </w:r>
      <w:r w:rsidR="005649EC" w:rsidRPr="001B1D5E">
        <w:rPr>
          <w:lang w:val="en-GB"/>
        </w:rPr>
        <w:t>n the current specification a single UL power control loop is defined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w:t>
      </w:r>
      <w:r w:rsidR="00B6139B">
        <w:rPr>
          <w:lang w:val="en-GB"/>
        </w:rPr>
        <w:t>gNB</w:t>
      </w:r>
      <w:r w:rsidR="00170814" w:rsidRPr="001B1D5E">
        <w:rPr>
          <w:lang w:val="en-GB"/>
        </w:rPr>
        <w:t xml:space="preserve">-gNB CLI (CLI slots) and slots that do not experience </w:t>
      </w:r>
      <w:r w:rsidR="00B6139B">
        <w:rPr>
          <w:lang w:val="en-GB"/>
        </w:rPr>
        <w:t>gNB</w:t>
      </w:r>
      <w:r w:rsidR="00170814" w:rsidRPr="001B1D5E">
        <w:rPr>
          <w:lang w:val="en-GB"/>
        </w:rPr>
        <w:t xml:space="preserve">-gNB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B76831">
        <w:rPr>
          <w:lang w:val="en-GB"/>
        </w:rPr>
        <w:instrText xml:space="preserve"> \* MERGEFORMAT </w:instrText>
      </w:r>
      <w:r w:rsidR="00F93597">
        <w:rPr>
          <w:lang w:val="en-GB"/>
        </w:rPr>
      </w:r>
      <w:r w:rsidR="00F93597">
        <w:rPr>
          <w:lang w:val="en-GB"/>
        </w:rPr>
        <w:fldChar w:fldCharType="separate"/>
      </w:r>
      <w:r w:rsidR="0064000E" w:rsidRPr="00DB7B12">
        <w:rPr>
          <w:bCs/>
        </w:rPr>
        <w:t xml:space="preserve">Figure </w:t>
      </w:r>
      <w:r w:rsidR="0064000E" w:rsidRPr="0064000E">
        <w:rPr>
          <w:bCs/>
          <w:noProof/>
        </w:rPr>
        <w:t>2</w:t>
      </w:r>
      <w:r w:rsidR="00F93597">
        <w:rPr>
          <w:lang w:val="en-GB"/>
        </w:rPr>
        <w:fldChar w:fldCharType="end"/>
      </w:r>
      <w:r w:rsidR="00DB7991" w:rsidRPr="001B1D5E">
        <w:rPr>
          <w:lang w:val="en-GB"/>
        </w:rPr>
        <w:t xml:space="preserve">, where one set of slots in the victim gNB experience both </w:t>
      </w:r>
      <w:r w:rsidR="00B6139B">
        <w:rPr>
          <w:lang w:val="en-GB"/>
        </w:rPr>
        <w:t>gNB</w:t>
      </w:r>
      <w:r w:rsidR="00DB7991" w:rsidRPr="001B1D5E">
        <w:rPr>
          <w:lang w:val="en-GB"/>
        </w:rPr>
        <w:t xml:space="preserve">-gNB CLI and co-channel interference (CCI) and another set of </w:t>
      </w:r>
      <w:proofErr w:type="gramStart"/>
      <w:r w:rsidR="00DB7991" w:rsidRPr="001B1D5E">
        <w:rPr>
          <w:lang w:val="en-GB"/>
        </w:rPr>
        <w:t>slots</w:t>
      </w:r>
      <w:proofErr w:type="gramEnd"/>
      <w:r w:rsidR="00DB7991" w:rsidRPr="001B1D5E">
        <w:rPr>
          <w:lang w:val="en-GB"/>
        </w:rPr>
        <w:t xml:space="preserve">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B6139B">
        <w:rPr>
          <w:lang w:val="en-GB"/>
        </w:rPr>
        <w:t>gNB</w:t>
      </w:r>
      <w:r w:rsidR="004D7B39" w:rsidRPr="001B1D5E">
        <w:rPr>
          <w:lang w:val="en-GB"/>
        </w:rPr>
        <w:t xml:space="preserve">-gNB </w:t>
      </w:r>
      <w:r w:rsidR="00B178F9" w:rsidRPr="001B1D5E">
        <w:rPr>
          <w:lang w:val="en-GB"/>
        </w:rPr>
        <w:t xml:space="preserve">CLI and therefore do not require any power boosting for CLI handling. </w:t>
      </w:r>
    </w:p>
    <w:p w14:paraId="2088058D" w14:textId="77777777" w:rsidR="00B5583F" w:rsidRDefault="00AB4642" w:rsidP="00ED3CB1">
      <w:pPr>
        <w:keepNext/>
        <w:spacing w:after="0"/>
        <w:jc w:val="center"/>
      </w:pPr>
      <w:r w:rsidRPr="001B1D5E">
        <w:rPr>
          <w:noProof/>
          <w:lang w:val="en-GB"/>
        </w:rPr>
        <w:drawing>
          <wp:inline distT="0" distB="0" distL="0" distR="0" wp14:anchorId="005EE6BC" wp14:editId="4F829037">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8372" cy="2141622"/>
                    </a:xfrm>
                    <a:prstGeom prst="rect">
                      <a:avLst/>
                    </a:prstGeom>
                    <a:noFill/>
                    <a:ln>
                      <a:noFill/>
                    </a:ln>
                  </pic:spPr>
                </pic:pic>
              </a:graphicData>
            </a:graphic>
          </wp:inline>
        </w:drawing>
      </w:r>
    </w:p>
    <w:p w14:paraId="37C108AF" w14:textId="3EFB08FE" w:rsidR="00B5583F" w:rsidRPr="00DB7B12" w:rsidRDefault="00B5583F" w:rsidP="0043198E">
      <w:pPr>
        <w:pStyle w:val="Caption"/>
        <w:spacing w:before="0"/>
        <w:jc w:val="center"/>
        <w:rPr>
          <w:rFonts w:eastAsiaTheme="minorEastAsia"/>
          <w:b w:val="0"/>
          <w:bCs/>
          <w:lang w:val="en-GB" w:eastAsia="zh-TW"/>
        </w:rPr>
      </w:pPr>
      <w:bookmarkStart w:id="3"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64000E">
        <w:rPr>
          <w:b w:val="0"/>
          <w:bCs/>
          <w:noProof/>
        </w:rPr>
        <w:t>2</w:t>
      </w:r>
      <w:r w:rsidRPr="00DB7B12">
        <w:rPr>
          <w:b w:val="0"/>
          <w:bCs/>
        </w:rPr>
        <w:fldChar w:fldCharType="end"/>
      </w:r>
      <w:bookmarkEnd w:id="3"/>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2CA83BDC" w:rsidR="006111DC" w:rsidRPr="001B1D5E" w:rsidRDefault="008F3894" w:rsidP="00B76831">
      <w:pPr>
        <w:jc w:val="both"/>
        <w:rPr>
          <w:lang w:val="en-GB"/>
        </w:rPr>
      </w:pPr>
      <w:r w:rsidRPr="001B1D5E">
        <w:rPr>
          <w:lang w:val="en-GB"/>
        </w:rPr>
        <w:t>A mechanism to address this issue is to provide two UL power control loops to the UE</w:t>
      </w:r>
      <w:r w:rsidR="00D90FA3" w:rsidRPr="001B1D5E">
        <w:rPr>
          <w:lang w:val="en-GB"/>
        </w:rPr>
        <w:t xml:space="preserve"> as shown in </w:t>
      </w:r>
      <w:r w:rsidR="00B209B0">
        <w:rPr>
          <w:lang w:val="en-GB"/>
        </w:rPr>
        <w:fldChar w:fldCharType="begin"/>
      </w:r>
      <w:r w:rsidR="00B209B0">
        <w:rPr>
          <w:lang w:val="en-GB"/>
        </w:rPr>
        <w:instrText xml:space="preserve"> REF _Ref111197142 \h </w:instrText>
      </w:r>
      <w:r w:rsidR="00B76831">
        <w:rPr>
          <w:lang w:val="en-GB"/>
        </w:rPr>
        <w:instrText xml:space="preserve"> \* MERGEFORMAT </w:instrText>
      </w:r>
      <w:r w:rsidR="00B209B0">
        <w:rPr>
          <w:lang w:val="en-GB"/>
        </w:rPr>
      </w:r>
      <w:r w:rsidR="00B209B0">
        <w:rPr>
          <w:lang w:val="en-GB"/>
        </w:rPr>
        <w:fldChar w:fldCharType="separate"/>
      </w:r>
      <w:r w:rsidR="0064000E" w:rsidRPr="00DB7B12">
        <w:rPr>
          <w:bCs/>
        </w:rPr>
        <w:t xml:space="preserve">Figure </w:t>
      </w:r>
      <w:r w:rsidR="0064000E">
        <w:rPr>
          <w:b/>
          <w:bCs/>
          <w:noProof/>
        </w:rPr>
        <w:t>3</w:t>
      </w:r>
      <w:r w:rsidR="00B209B0">
        <w:rPr>
          <w:lang w:val="en-GB"/>
        </w:rPr>
        <w:fldChar w:fldCharType="end"/>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another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w:t>
      </w:r>
      <w:r w:rsidR="003E7710">
        <w:rPr>
          <w:lang w:val="en-GB"/>
        </w:rPr>
        <w:t>gNB</w:t>
      </w:r>
      <w:r w:rsidRPr="001B1D5E">
        <w:rPr>
          <w:lang w:val="en-GB"/>
        </w:rPr>
        <w:t xml:space="preserve">-gNB CLI handling in DTDD and SBFD should be studied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B76831">
        <w:rPr>
          <w:lang w:val="en-GB"/>
        </w:rPr>
        <w:instrText xml:space="preserve"> \* MERGEFORMAT </w:instrText>
      </w:r>
      <w:r w:rsidR="00F93597">
        <w:rPr>
          <w:lang w:val="en-GB"/>
        </w:rPr>
      </w:r>
      <w:r w:rsidR="00F93597">
        <w:rPr>
          <w:lang w:val="en-GB"/>
        </w:rPr>
        <w:fldChar w:fldCharType="separate"/>
      </w:r>
      <w:r w:rsidR="0064000E" w:rsidRPr="00DB7B12">
        <w:rPr>
          <w:bCs/>
        </w:rPr>
        <w:t xml:space="preserve">Figure </w:t>
      </w:r>
      <w:r w:rsidR="0064000E" w:rsidRPr="0064000E">
        <w:rPr>
          <w:noProof/>
        </w:rPr>
        <w:t>3</w:t>
      </w:r>
      <w:r w:rsidR="00F93597">
        <w:rPr>
          <w:lang w:val="en-GB"/>
        </w:rPr>
        <w:fldChar w:fldCharType="end"/>
      </w:r>
      <w:r w:rsidR="0000186C" w:rsidRPr="001B1D5E">
        <w:rPr>
          <w:lang w:val="en-GB"/>
        </w:rPr>
        <w:t xml:space="preserve">. </w:t>
      </w:r>
    </w:p>
    <w:p w14:paraId="7B8C65AC" w14:textId="77777777" w:rsidR="00EE18E9" w:rsidRDefault="00AB4642" w:rsidP="00267D61">
      <w:pPr>
        <w:keepNext/>
        <w:spacing w:after="0"/>
        <w:jc w:val="center"/>
      </w:pPr>
      <w:r w:rsidRPr="001B1D5E">
        <w:rPr>
          <w:noProof/>
          <w:lang w:val="en-GB"/>
        </w:rPr>
        <w:lastRenderedPageBreak/>
        <w:drawing>
          <wp:inline distT="0" distB="0" distL="0" distR="0" wp14:anchorId="36C03BE7" wp14:editId="4E5B6D45">
            <wp:extent cx="4985385" cy="18553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15" cy="1871602"/>
                    </a:xfrm>
                    <a:prstGeom prst="rect">
                      <a:avLst/>
                    </a:prstGeom>
                    <a:noFill/>
                    <a:ln>
                      <a:noFill/>
                    </a:ln>
                  </pic:spPr>
                </pic:pic>
              </a:graphicData>
            </a:graphic>
          </wp:inline>
        </w:drawing>
      </w:r>
    </w:p>
    <w:p w14:paraId="29A9D48C" w14:textId="67A348D0" w:rsidR="00F35268" w:rsidRPr="00DB7B12" w:rsidRDefault="00EE18E9" w:rsidP="00267D61">
      <w:pPr>
        <w:pStyle w:val="Caption"/>
        <w:spacing w:before="0"/>
        <w:jc w:val="center"/>
        <w:rPr>
          <w:b w:val="0"/>
          <w:bCs/>
          <w:lang w:val="en-GB"/>
        </w:rPr>
      </w:pPr>
      <w:bookmarkStart w:id="4"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64000E">
        <w:rPr>
          <w:b w:val="0"/>
          <w:bCs/>
          <w:noProof/>
        </w:rPr>
        <w:t>3</w:t>
      </w:r>
      <w:r w:rsidRPr="00DB7B12">
        <w:rPr>
          <w:b w:val="0"/>
          <w:bCs/>
        </w:rPr>
        <w:fldChar w:fldCharType="end"/>
      </w:r>
      <w:bookmarkEnd w:id="4"/>
      <w:r w:rsidRPr="00DB7B12">
        <w:rPr>
          <w:b w:val="0"/>
          <w:bCs/>
        </w:rPr>
        <w:t xml:space="preserve">: </w:t>
      </w:r>
      <w:r w:rsidRPr="00DB7B12">
        <w:rPr>
          <w:b w:val="0"/>
          <w:bCs/>
          <w:lang w:val="en-GB"/>
        </w:rPr>
        <w:t>Two power control loops for CLI and non-CLI slots</w:t>
      </w:r>
    </w:p>
    <w:p w14:paraId="064BD739" w14:textId="264DD8F4" w:rsidR="00DA1C7D" w:rsidRPr="00DB7B12" w:rsidRDefault="00DA1C7D" w:rsidP="00B76831">
      <w:pPr>
        <w:pStyle w:val="Caption"/>
        <w:jc w:val="both"/>
        <w:rPr>
          <w:i/>
          <w:iCs/>
          <w:lang w:val="en-GB"/>
        </w:rPr>
      </w:pPr>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64000E">
        <w:rPr>
          <w:i/>
          <w:iCs/>
          <w:noProof/>
          <w:lang w:val="en-GB"/>
        </w:rPr>
        <w:t>1</w:t>
      </w:r>
      <w:r w:rsidRPr="00DB7B12">
        <w:rPr>
          <w:i/>
          <w:iCs/>
          <w:noProof/>
          <w:lang w:val="en-GB"/>
        </w:rPr>
        <w:fldChar w:fldCharType="end"/>
      </w:r>
      <w:bookmarkStart w:id="5" w:name="Observation7"/>
      <w:r w:rsidRPr="00DB7B12">
        <w:rPr>
          <w:i/>
          <w:iCs/>
          <w:lang w:val="en-GB"/>
        </w:rPr>
        <w:t xml:space="preserve">: </w:t>
      </w:r>
      <w:bookmarkStart w:id="6" w:name="_Ref118367671"/>
      <w:r w:rsidRPr="00DB7B12">
        <w:rPr>
          <w:bCs/>
          <w:i/>
          <w:iCs/>
          <w:lang w:val="en-GB"/>
        </w:rPr>
        <w:t>Applying UL power boosting across all UL slots will cause power wastage on non-CLI slots</w:t>
      </w:r>
      <w:r w:rsidRPr="00DB7B12">
        <w:rPr>
          <w:i/>
          <w:iCs/>
          <w:lang w:val="en-GB"/>
        </w:rPr>
        <w:t>.</w:t>
      </w:r>
      <w:bookmarkEnd w:id="6"/>
    </w:p>
    <w:p w14:paraId="4E915183" w14:textId="4959AC77" w:rsidR="00287BCF" w:rsidRPr="00DB7B12" w:rsidRDefault="00287BCF" w:rsidP="00B76831">
      <w:pPr>
        <w:pStyle w:val="Caption"/>
        <w:jc w:val="both"/>
        <w:rPr>
          <w:i/>
          <w:iCs/>
        </w:rPr>
      </w:pPr>
      <w:bookmarkStart w:id="7" w:name="proposal3"/>
      <w:bookmarkStart w:id="8" w:name="proposal_3"/>
      <w:bookmarkEnd w:id="5"/>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64000E">
        <w:rPr>
          <w:i/>
          <w:iCs/>
          <w:noProof/>
        </w:rPr>
        <w:t>1</w:t>
      </w:r>
      <w:r w:rsidRPr="00DB7B12">
        <w:rPr>
          <w:i/>
          <w:iCs/>
        </w:rPr>
        <w:fldChar w:fldCharType="end"/>
      </w:r>
      <w:r w:rsidRPr="00DB7B12">
        <w:rPr>
          <w:i/>
          <w:iCs/>
        </w:rPr>
        <w:t xml:space="preserve">: </w:t>
      </w:r>
      <w:bookmarkStart w:id="9" w:name="_Ref118368090"/>
      <w:r w:rsidRPr="00DB7B12">
        <w:rPr>
          <w:i/>
          <w:iCs/>
        </w:rPr>
        <w:t xml:space="preserve">RAN1 to study the feasibility of enabling two UL power control loops for </w:t>
      </w:r>
      <w:r w:rsidR="003E7710">
        <w:rPr>
          <w:i/>
          <w:iCs/>
        </w:rPr>
        <w:t>gNB</w:t>
      </w:r>
      <w:r w:rsidRPr="00DB7B12">
        <w:rPr>
          <w:i/>
          <w:iCs/>
        </w:rPr>
        <w:t>-gNB CLI handling in DTDD and SBFD.</w:t>
      </w:r>
      <w:bookmarkEnd w:id="9"/>
      <w:r w:rsidRPr="00DB7B12">
        <w:rPr>
          <w:i/>
          <w:iCs/>
        </w:rPr>
        <w:t xml:space="preserve">   </w:t>
      </w:r>
    </w:p>
    <w:p w14:paraId="61586DC0" w14:textId="46B9B63F" w:rsidR="00066E83" w:rsidRDefault="005C077B" w:rsidP="00B76831">
      <w:pPr>
        <w:pStyle w:val="Caption"/>
        <w:jc w:val="both"/>
        <w:rPr>
          <w:bCs/>
          <w:i/>
          <w:iCs/>
          <w:lang w:val="en-GB"/>
        </w:rPr>
      </w:pPr>
      <w:bookmarkStart w:id="10" w:name="proposal4"/>
      <w:bookmarkStart w:id="11" w:name="proposal_4"/>
      <w:bookmarkEnd w:id="7"/>
      <w:bookmarkEnd w:id="8"/>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64000E">
        <w:rPr>
          <w:i/>
          <w:iCs/>
          <w:noProof/>
          <w:lang w:val="en-GB"/>
        </w:rPr>
        <w:t>2</w:t>
      </w:r>
      <w:r w:rsidRPr="00DB7B12">
        <w:rPr>
          <w:i/>
          <w:iCs/>
          <w:noProof/>
          <w:lang w:val="en-GB"/>
        </w:rPr>
        <w:fldChar w:fldCharType="end"/>
      </w:r>
      <w:r w:rsidRPr="00DB7B12">
        <w:rPr>
          <w:i/>
          <w:iCs/>
          <w:lang w:val="en-GB"/>
        </w:rPr>
        <w:t xml:space="preserve">: </w:t>
      </w:r>
      <w:bookmarkStart w:id="12" w:name="_Ref118368112"/>
      <w:r w:rsidRPr="00DB7B12">
        <w:rPr>
          <w:bCs/>
          <w:i/>
          <w:iCs/>
          <w:lang w:val="en-GB"/>
        </w:rPr>
        <w:t xml:space="preserve">Support the use of a bitmap for slot indication to the UE when two UL power control loops are enabled for </w:t>
      </w:r>
      <w:r w:rsidR="003E7710">
        <w:rPr>
          <w:bCs/>
          <w:i/>
          <w:iCs/>
          <w:lang w:val="en-GB"/>
        </w:rPr>
        <w:t>gNB</w:t>
      </w:r>
      <w:r w:rsidRPr="00DB7B12">
        <w:rPr>
          <w:bCs/>
          <w:i/>
          <w:iCs/>
          <w:lang w:val="en-GB"/>
        </w:rPr>
        <w:t>-gNB CLI handling in DTDD and SBFD.</w:t>
      </w:r>
      <w:bookmarkEnd w:id="12"/>
      <w:r w:rsidRPr="00DB7B12">
        <w:rPr>
          <w:bCs/>
          <w:i/>
          <w:iCs/>
          <w:lang w:val="en-GB"/>
        </w:rPr>
        <w:t xml:space="preserve">   </w:t>
      </w:r>
    </w:p>
    <w:p w14:paraId="32B8DF13" w14:textId="377C0F0A" w:rsidR="002619CC" w:rsidRDefault="002619CC" w:rsidP="00B76831">
      <w:pPr>
        <w:pStyle w:val="Heading2"/>
        <w:jc w:val="both"/>
      </w:pPr>
      <w:r w:rsidRPr="002619CC">
        <w:t xml:space="preserve">Evaluation for </w:t>
      </w:r>
      <w:r w:rsidRPr="002619CC">
        <w:rPr>
          <w:lang w:eastAsia="zh-CN"/>
        </w:rPr>
        <w:t>uplink power boosting</w:t>
      </w:r>
    </w:p>
    <w:p w14:paraId="2D59C3DB" w14:textId="4F100032" w:rsidR="002619CC" w:rsidRDefault="002619CC" w:rsidP="00B76831">
      <w:pPr>
        <w:jc w:val="both"/>
      </w:pPr>
      <w:r>
        <w:t xml:space="preserve">In this section, we evaluate the effectiveness of UL power boosting in handling </w:t>
      </w:r>
      <w:r w:rsidR="00B76831">
        <w:t>gNB</w:t>
      </w:r>
      <w:r>
        <w:t xml:space="preserve">-gNB CLI. The evaluation presents UL SINR and </w:t>
      </w:r>
      <w:r w:rsidR="001C6B98">
        <w:t xml:space="preserve">average </w:t>
      </w:r>
      <w:r>
        <w:t xml:space="preserve">UL </w:t>
      </w:r>
      <w:r w:rsidR="001C6B98">
        <w:t>UPT</w:t>
      </w:r>
      <w:r>
        <w:t xml:space="preserve"> obtained from system level simulations for both DTDD and SBFD. In the case of DTDD, the evaluation is caried out in a HetNet (two-layer) scenario with misaligned TDD patterns [</w:t>
      </w:r>
      <w:r w:rsidR="00847DE2">
        <w:t>2</w:t>
      </w:r>
      <w:r>
        <w:t>]. The small cells are assumed to be the victim cells since the macro cells as aggressor cells represents the worst-case scenario due to their higher transmission power.</w:t>
      </w:r>
      <w:r w:rsidR="00DA1C04">
        <w:t xml:space="preserve"> In the SBFD case, the evaluation is carried out for dense urban deployment scenario. In both cases, t</w:t>
      </w:r>
      <w:r>
        <w:t>he UEs in a victim cell are configured to apply a power offset during CLI slots.</w:t>
      </w:r>
      <w:r w:rsidR="001C6B98">
        <w:t xml:space="preserve"> Power offsets of 5 dB and 10 dB are considered. </w:t>
      </w:r>
    </w:p>
    <w:p w14:paraId="5BFAB56A" w14:textId="77711B58" w:rsidR="00847DE2" w:rsidRDefault="00811FC2" w:rsidP="00B76831">
      <w:pPr>
        <w:jc w:val="both"/>
      </w:pPr>
      <w:r>
        <w:rPr>
          <w:bCs/>
        </w:rPr>
        <w:fldChar w:fldCharType="begin"/>
      </w:r>
      <w:r>
        <w:instrText xml:space="preserve"> REF _Ref118202878 \h </w:instrText>
      </w:r>
      <w:r w:rsidR="00B76831">
        <w:rPr>
          <w:bCs/>
        </w:rPr>
        <w:instrText xml:space="preserve"> \* MERGEFORMAT </w:instrText>
      </w:r>
      <w:r>
        <w:rPr>
          <w:bCs/>
        </w:rPr>
      </w:r>
      <w:r>
        <w:rPr>
          <w:bCs/>
        </w:rPr>
        <w:fldChar w:fldCharType="separate"/>
      </w:r>
      <w:r w:rsidR="0064000E" w:rsidRPr="00DB7B12">
        <w:rPr>
          <w:bCs/>
        </w:rPr>
        <w:t xml:space="preserve">Figure </w:t>
      </w:r>
      <w:r w:rsidR="0064000E">
        <w:rPr>
          <w:bCs/>
          <w:noProof/>
        </w:rPr>
        <w:t>4</w:t>
      </w:r>
      <w:r>
        <w:rPr>
          <w:bCs/>
        </w:rPr>
        <w:fldChar w:fldCharType="end"/>
      </w:r>
      <w:r w:rsidR="003A429B">
        <w:rPr>
          <w:bCs/>
        </w:rPr>
        <w:t xml:space="preserve"> (a)</w:t>
      </w:r>
      <w:r>
        <w:rPr>
          <w:bCs/>
        </w:rPr>
        <w:t xml:space="preserve"> </w:t>
      </w:r>
      <w:r w:rsidR="003A429B">
        <w:rPr>
          <w:bCs/>
        </w:rPr>
        <w:t xml:space="preserve">and </w:t>
      </w:r>
      <w:r w:rsidR="00224FBC">
        <w:rPr>
          <w:bCs/>
        </w:rPr>
        <w:fldChar w:fldCharType="begin"/>
      </w:r>
      <w:r w:rsidR="00224FBC">
        <w:rPr>
          <w:bCs/>
        </w:rPr>
        <w:instrText xml:space="preserve"> REF _Ref118202878 \h </w:instrText>
      </w:r>
      <w:r w:rsidR="00B76831">
        <w:rPr>
          <w:bCs/>
        </w:rPr>
        <w:instrText xml:space="preserve"> \* MERGEFORMAT </w:instrText>
      </w:r>
      <w:r w:rsidR="00224FBC">
        <w:rPr>
          <w:bCs/>
        </w:rPr>
      </w:r>
      <w:r w:rsidR="00224FBC">
        <w:rPr>
          <w:bCs/>
        </w:rPr>
        <w:fldChar w:fldCharType="separate"/>
      </w:r>
      <w:r w:rsidR="0064000E" w:rsidRPr="00DB7B12">
        <w:rPr>
          <w:bCs/>
        </w:rPr>
        <w:t xml:space="preserve">Figure </w:t>
      </w:r>
      <w:r w:rsidR="0064000E">
        <w:rPr>
          <w:bCs/>
          <w:noProof/>
        </w:rPr>
        <w:t>4</w:t>
      </w:r>
      <w:r w:rsidR="00224FBC">
        <w:rPr>
          <w:bCs/>
        </w:rPr>
        <w:fldChar w:fldCharType="end"/>
      </w:r>
      <w:r w:rsidR="00224FBC">
        <w:rPr>
          <w:bCs/>
        </w:rPr>
        <w:t xml:space="preserve"> </w:t>
      </w:r>
      <w:r w:rsidR="003A429B">
        <w:rPr>
          <w:bCs/>
        </w:rPr>
        <w:t xml:space="preserve">(b) </w:t>
      </w:r>
      <w:r w:rsidR="00847DE2">
        <w:t>show the post processing UL SINR for CLI and non CLI slots</w:t>
      </w:r>
      <w:r w:rsidR="00217914">
        <w:t xml:space="preserve"> in victim cell</w:t>
      </w:r>
      <w:r w:rsidR="003A429B">
        <w:t>s for DTDD and SBFD, respectively</w:t>
      </w:r>
      <w:r w:rsidR="00847DE2">
        <w:t xml:space="preserve">. As can be seen, the non-CLI slots achieve a higher UL SINR compared to CLI slots when no power offset is applied. However, as shown in the figure, the UL SINR in the victim cell can improve with increasing power offset. </w:t>
      </w:r>
      <w:r w:rsidR="00105315">
        <w:t>For DTDD, a</w:t>
      </w:r>
      <w:r w:rsidR="00847DE2">
        <w:t>pplying a power offset of 1</w:t>
      </w:r>
      <w:r w:rsidR="001C6B98">
        <w:t>0</w:t>
      </w:r>
      <w:r w:rsidR="00847DE2">
        <w:t xml:space="preserve"> dB </w:t>
      </w:r>
      <w:r w:rsidR="001C6B98">
        <w:t xml:space="preserve">can </w:t>
      </w:r>
      <w:r w:rsidR="00847DE2">
        <w:t>improve</w:t>
      </w:r>
      <w:r w:rsidR="001C6B98">
        <w:t xml:space="preserve"> </w:t>
      </w:r>
      <w:r w:rsidR="00847DE2">
        <w:t>the UL SINR</w:t>
      </w:r>
      <w:r w:rsidR="001C6B98">
        <w:t xml:space="preserve"> by approximately 10 </w:t>
      </w:r>
      <w:proofErr w:type="spellStart"/>
      <w:r w:rsidR="001C6B98">
        <w:t>dB.</w:t>
      </w:r>
      <w:proofErr w:type="spellEnd"/>
      <w:r w:rsidR="001C6B98">
        <w:t xml:space="preserve"> </w:t>
      </w:r>
      <w:r w:rsidR="00105315">
        <w:t xml:space="preserve">For the case of SBFD, a power offset of 10 dB can close the SINR gap between CLI and non-CLI slots. </w:t>
      </w:r>
    </w:p>
    <w:p w14:paraId="71877356" w14:textId="4DE270E8" w:rsidR="00847DE2" w:rsidRDefault="001922A6" w:rsidP="00FB4DAC">
      <w:pPr>
        <w:spacing w:after="0"/>
        <w:jc w:val="both"/>
      </w:pPr>
      <w:r w:rsidRPr="001922A6">
        <w:rPr>
          <w:noProof/>
        </w:rPr>
        <w:drawing>
          <wp:inline distT="0" distB="0" distL="0" distR="0" wp14:anchorId="37C3DC5F" wp14:editId="235EA336">
            <wp:extent cx="2817197" cy="2208530"/>
            <wp:effectExtent l="0" t="0" r="2540" b="1270"/>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rotWithShape="1">
                    <a:blip r:embed="rId14"/>
                    <a:srcRect l="2604" t="3687" r="4842"/>
                    <a:stretch/>
                  </pic:blipFill>
                  <pic:spPr bwMode="auto">
                    <a:xfrm>
                      <a:off x="0" y="0"/>
                      <a:ext cx="2851143" cy="2235142"/>
                    </a:xfrm>
                    <a:prstGeom prst="rect">
                      <a:avLst/>
                    </a:prstGeom>
                    <a:ln>
                      <a:noFill/>
                    </a:ln>
                    <a:extLst>
                      <a:ext uri="{53640926-AAD7-44D8-BBD7-CCE9431645EC}">
                        <a14:shadowObscured xmlns:a14="http://schemas.microsoft.com/office/drawing/2010/main"/>
                      </a:ext>
                    </a:extLst>
                  </pic:spPr>
                </pic:pic>
              </a:graphicData>
            </a:graphic>
          </wp:inline>
        </w:drawing>
      </w:r>
      <w:r w:rsidR="0041296D">
        <w:rPr>
          <w:noProof/>
        </w:rPr>
        <w:drawing>
          <wp:inline distT="0" distB="0" distL="0" distR="0" wp14:anchorId="0A1CC3AC" wp14:editId="43D58096">
            <wp:extent cx="2742826" cy="2125059"/>
            <wp:effectExtent l="0" t="0" r="63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475" t="4961" r="2858"/>
                    <a:stretch/>
                  </pic:blipFill>
                  <pic:spPr bwMode="auto">
                    <a:xfrm>
                      <a:off x="0" y="0"/>
                      <a:ext cx="2747050" cy="2128332"/>
                    </a:xfrm>
                    <a:prstGeom prst="rect">
                      <a:avLst/>
                    </a:prstGeom>
                    <a:noFill/>
                    <a:ln>
                      <a:noFill/>
                    </a:ln>
                    <a:extLst>
                      <a:ext uri="{53640926-AAD7-44D8-BBD7-CCE9431645EC}">
                        <a14:shadowObscured xmlns:a14="http://schemas.microsoft.com/office/drawing/2010/main"/>
                      </a:ext>
                    </a:extLst>
                  </pic:spPr>
                </pic:pic>
              </a:graphicData>
            </a:graphic>
          </wp:inline>
        </w:drawing>
      </w:r>
    </w:p>
    <w:p w14:paraId="031240A3" w14:textId="0D7C96E0" w:rsidR="0041296D" w:rsidRPr="00267D61" w:rsidRDefault="0041296D" w:rsidP="00B76831">
      <w:pPr>
        <w:pStyle w:val="ListParagraph"/>
        <w:numPr>
          <w:ilvl w:val="0"/>
          <w:numId w:val="20"/>
        </w:numPr>
        <w:ind w:firstLineChars="0"/>
        <w:jc w:val="both"/>
        <w:rPr>
          <w:sz w:val="20"/>
          <w:szCs w:val="20"/>
        </w:rPr>
      </w:pPr>
      <w:r w:rsidRPr="00267D61">
        <w:rPr>
          <w:sz w:val="20"/>
          <w:szCs w:val="20"/>
        </w:rPr>
        <w:t xml:space="preserve">                                                </w:t>
      </w:r>
      <w:r w:rsidR="00267D61">
        <w:rPr>
          <w:sz w:val="20"/>
          <w:szCs w:val="20"/>
        </w:rPr>
        <w:t xml:space="preserve">            </w:t>
      </w:r>
      <w:r w:rsidRPr="00267D61">
        <w:rPr>
          <w:sz w:val="20"/>
          <w:szCs w:val="20"/>
        </w:rPr>
        <w:t xml:space="preserve">                        (b) </w:t>
      </w:r>
    </w:p>
    <w:p w14:paraId="77C38630" w14:textId="734BB12F" w:rsidR="001F4CD3" w:rsidRDefault="00667AEE" w:rsidP="0043198E">
      <w:pPr>
        <w:jc w:val="center"/>
      </w:pPr>
      <w:bookmarkStart w:id="13" w:name="_Ref118202878"/>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64000E">
        <w:rPr>
          <w:bCs/>
          <w:noProof/>
        </w:rPr>
        <w:t>4</w:t>
      </w:r>
      <w:r w:rsidRPr="00DB7B12">
        <w:rPr>
          <w:b/>
          <w:bCs/>
        </w:rPr>
        <w:fldChar w:fldCharType="end"/>
      </w:r>
      <w:bookmarkEnd w:id="13"/>
      <w:r w:rsidR="00710831">
        <w:t>:</w:t>
      </w:r>
      <w:r w:rsidR="001F4CD3">
        <w:t xml:space="preserve"> Post Processing UL SINR for non-CLI and CLI slots with different power offsets</w:t>
      </w:r>
      <w:r w:rsidR="008962B1">
        <w:t>: (a) DTDD (b) SBFD</w:t>
      </w:r>
    </w:p>
    <w:p w14:paraId="06687297" w14:textId="29CF57AF" w:rsidR="001F4CD3" w:rsidRDefault="00811FC2" w:rsidP="00B76831">
      <w:pPr>
        <w:jc w:val="both"/>
      </w:pPr>
      <w:r>
        <w:fldChar w:fldCharType="begin"/>
      </w:r>
      <w:r>
        <w:instrText xml:space="preserve"> REF _Ref118202915 \h </w:instrText>
      </w:r>
      <w:r w:rsidR="00B76831">
        <w:instrText xml:space="preserve"> \* MERGEFORMAT </w:instrText>
      </w:r>
      <w:r>
        <w:fldChar w:fldCharType="separate"/>
      </w:r>
      <w:r w:rsidR="0064000E" w:rsidRPr="00DB7B12">
        <w:rPr>
          <w:bCs/>
        </w:rPr>
        <w:t xml:space="preserve">Figure </w:t>
      </w:r>
      <w:r w:rsidR="0064000E">
        <w:rPr>
          <w:bCs/>
          <w:noProof/>
        </w:rPr>
        <w:t>5</w:t>
      </w:r>
      <w:r>
        <w:fldChar w:fldCharType="end"/>
      </w:r>
      <w:r w:rsidR="009A01F8">
        <w:t xml:space="preserve"> (a) and </w:t>
      </w:r>
      <w:r w:rsidR="00091622">
        <w:fldChar w:fldCharType="begin"/>
      </w:r>
      <w:r w:rsidR="00091622">
        <w:instrText xml:space="preserve"> REF _Ref118202915 \h </w:instrText>
      </w:r>
      <w:r w:rsidR="00B76831">
        <w:instrText xml:space="preserve"> \* MERGEFORMAT </w:instrText>
      </w:r>
      <w:r w:rsidR="00091622">
        <w:fldChar w:fldCharType="separate"/>
      </w:r>
      <w:r w:rsidR="0064000E" w:rsidRPr="00DB7B12">
        <w:rPr>
          <w:bCs/>
        </w:rPr>
        <w:t xml:space="preserve">Figure </w:t>
      </w:r>
      <w:r w:rsidR="0064000E">
        <w:rPr>
          <w:bCs/>
          <w:noProof/>
        </w:rPr>
        <w:t>5</w:t>
      </w:r>
      <w:r w:rsidR="00091622">
        <w:fldChar w:fldCharType="end"/>
      </w:r>
      <w:r w:rsidR="00091622">
        <w:t xml:space="preserve"> </w:t>
      </w:r>
      <w:r w:rsidR="009A01F8">
        <w:t>(b)</w:t>
      </w:r>
      <w:r>
        <w:t xml:space="preserve"> </w:t>
      </w:r>
      <w:r w:rsidR="001F4CD3">
        <w:t xml:space="preserve">show the </w:t>
      </w:r>
      <w:r w:rsidR="001C6B98">
        <w:t xml:space="preserve">average </w:t>
      </w:r>
      <w:r w:rsidR="001F4CD3">
        <w:t xml:space="preserve">UL </w:t>
      </w:r>
      <w:r w:rsidR="001C6B98">
        <w:t>UPT</w:t>
      </w:r>
      <w:r w:rsidR="001F4CD3">
        <w:t xml:space="preserve"> at the victim cell</w:t>
      </w:r>
      <w:r w:rsidR="009A01F8">
        <w:t xml:space="preserve"> for DTDD and SBFD, respectively.</w:t>
      </w:r>
      <w:r w:rsidR="001F4CD3">
        <w:t xml:space="preserve"> The improvement in UL SINR due to UL power boosting results in higher </w:t>
      </w:r>
      <w:r w:rsidR="001C6B98">
        <w:t>average</w:t>
      </w:r>
      <w:r w:rsidR="001F4CD3">
        <w:t xml:space="preserve"> UL </w:t>
      </w:r>
      <w:r w:rsidR="001C6B98">
        <w:t>UPT</w:t>
      </w:r>
      <w:r w:rsidR="001F4CD3">
        <w:t xml:space="preserve">. </w:t>
      </w:r>
      <w:r w:rsidR="00B62ACA">
        <w:t>T</w:t>
      </w:r>
      <w:r w:rsidR="001F4CD3">
        <w:t xml:space="preserve">hroughput gain of </w:t>
      </w:r>
      <w:r w:rsidR="005B423A">
        <w:t xml:space="preserve">approximately </w:t>
      </w:r>
      <w:r w:rsidR="00B62ACA">
        <w:t>25</w:t>
      </w:r>
      <w:r w:rsidR="001F4CD3">
        <w:t>% can be achieved</w:t>
      </w:r>
      <w:r w:rsidR="00B62ACA">
        <w:t xml:space="preserve"> for the SBFD case</w:t>
      </w:r>
      <w:r w:rsidR="001F4CD3">
        <w:t xml:space="preserve"> when the power offset is equal to 1</w:t>
      </w:r>
      <w:r w:rsidR="001C6B98">
        <w:t>0</w:t>
      </w:r>
      <w:r w:rsidR="001F4CD3">
        <w:t xml:space="preserve"> </w:t>
      </w:r>
      <w:proofErr w:type="spellStart"/>
      <w:r w:rsidR="001F4CD3">
        <w:t>dB.</w:t>
      </w:r>
      <w:proofErr w:type="spellEnd"/>
      <w:r w:rsidR="001F4CD3">
        <w:t xml:space="preserve"> The evaluation results show that enabling UL power boosting</w:t>
      </w:r>
      <w:r w:rsidR="00217914">
        <w:t xml:space="preserve"> for DTDD </w:t>
      </w:r>
      <w:r w:rsidR="002E2847">
        <w:t xml:space="preserve">and SBFD </w:t>
      </w:r>
      <w:r w:rsidR="00217914">
        <w:t>systems</w:t>
      </w:r>
      <w:r w:rsidR="001F4CD3">
        <w:t xml:space="preserve"> can significantly improve UL performance in the presence of inter-gNB CLI. </w:t>
      </w:r>
    </w:p>
    <w:p w14:paraId="651B2078" w14:textId="3DFFCCEF" w:rsidR="001A3DC8" w:rsidRDefault="004D0CE3" w:rsidP="00FB4DAC">
      <w:pPr>
        <w:spacing w:after="0"/>
        <w:jc w:val="both"/>
      </w:pPr>
      <w:r w:rsidRPr="004D0CE3">
        <w:rPr>
          <w:noProof/>
        </w:rPr>
        <w:lastRenderedPageBreak/>
        <w:drawing>
          <wp:inline distT="0" distB="0" distL="0" distR="0" wp14:anchorId="7230BA3A" wp14:editId="7805670A">
            <wp:extent cx="2902226" cy="2171929"/>
            <wp:effectExtent l="0" t="0" r="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16"/>
                    <a:stretch>
                      <a:fillRect/>
                    </a:stretch>
                  </pic:blipFill>
                  <pic:spPr>
                    <a:xfrm>
                      <a:off x="0" y="0"/>
                      <a:ext cx="2916624" cy="2182704"/>
                    </a:xfrm>
                    <a:prstGeom prst="rect">
                      <a:avLst/>
                    </a:prstGeom>
                  </pic:spPr>
                </pic:pic>
              </a:graphicData>
            </a:graphic>
          </wp:inline>
        </w:drawing>
      </w:r>
      <w:r w:rsidR="001A3DC8">
        <w:rPr>
          <w:noProof/>
        </w:rPr>
        <w:drawing>
          <wp:inline distT="0" distB="0" distL="0" distR="0" wp14:anchorId="1965BBA7" wp14:editId="26FAE646">
            <wp:extent cx="2890450" cy="2201876"/>
            <wp:effectExtent l="0" t="0" r="5715" b="825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8947" cy="2231202"/>
                    </a:xfrm>
                    <a:prstGeom prst="rect">
                      <a:avLst/>
                    </a:prstGeom>
                    <a:noFill/>
                  </pic:spPr>
                </pic:pic>
              </a:graphicData>
            </a:graphic>
          </wp:inline>
        </w:drawing>
      </w:r>
    </w:p>
    <w:p w14:paraId="5B75A58B" w14:textId="02EEFCC9" w:rsidR="00FA7335" w:rsidRDefault="001A3DC8" w:rsidP="00B76831">
      <w:pPr>
        <w:pStyle w:val="ListParagraph"/>
        <w:numPr>
          <w:ilvl w:val="0"/>
          <w:numId w:val="21"/>
        </w:numPr>
        <w:ind w:firstLineChars="0"/>
        <w:jc w:val="both"/>
      </w:pPr>
      <w:r>
        <w:t xml:space="preserve">                                                                     </w:t>
      </w:r>
      <w:r w:rsidRPr="00FB4DAC">
        <w:rPr>
          <w:sz w:val="20"/>
          <w:szCs w:val="20"/>
        </w:rPr>
        <w:t>(b)</w:t>
      </w:r>
    </w:p>
    <w:p w14:paraId="45083C26" w14:textId="786D7AD2" w:rsidR="00FA7335" w:rsidRDefault="00667AEE" w:rsidP="0043198E">
      <w:pPr>
        <w:jc w:val="center"/>
      </w:pPr>
      <w:bookmarkStart w:id="14" w:name="_Ref118202915"/>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64000E">
        <w:rPr>
          <w:bCs/>
          <w:noProof/>
        </w:rPr>
        <w:t>5</w:t>
      </w:r>
      <w:r w:rsidRPr="00DB7B12">
        <w:rPr>
          <w:b/>
          <w:bCs/>
        </w:rPr>
        <w:fldChar w:fldCharType="end"/>
      </w:r>
      <w:bookmarkEnd w:id="14"/>
      <w:r w:rsidR="001F4DBC">
        <w:t>:</w:t>
      </w:r>
      <w:r w:rsidR="00FA7335">
        <w:t xml:space="preserve"> </w:t>
      </w:r>
      <w:r w:rsidR="001C6B98">
        <w:t>Average UL UPT</w:t>
      </w:r>
      <w:r w:rsidR="00FA7335">
        <w:t xml:space="preserve"> in victim cell with different power offsets</w:t>
      </w:r>
      <w:r w:rsidR="008962B1">
        <w:t>: (a) DTDD (b) SBFD</w:t>
      </w:r>
    </w:p>
    <w:p w14:paraId="598E1D35" w14:textId="70B2D5D4" w:rsidR="001F4CD3" w:rsidRPr="00B14636" w:rsidRDefault="00667AEE"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2</w:t>
      </w:r>
      <w:r w:rsidRPr="00491E94">
        <w:rPr>
          <w:b/>
          <w:bCs/>
          <w:i/>
          <w:iCs/>
          <w:noProof/>
          <w:lang w:val="en-GB"/>
        </w:rPr>
        <w:fldChar w:fldCharType="end"/>
      </w:r>
      <w:r w:rsidR="00C0023E" w:rsidRPr="00906A88">
        <w:rPr>
          <w:b/>
          <w:bCs/>
          <w:i/>
          <w:iCs/>
        </w:rPr>
        <w:t xml:space="preserve">: </w:t>
      </w:r>
      <w:bookmarkStart w:id="15" w:name="_Ref118367706"/>
      <w:r w:rsidR="00207E0C" w:rsidRPr="00E51573">
        <w:rPr>
          <w:b/>
          <w:bCs/>
          <w:i/>
          <w:iCs/>
          <w:lang w:val="en-GB"/>
        </w:rPr>
        <w:t>Enabling</w:t>
      </w:r>
      <w:r w:rsidR="00207E0C">
        <w:rPr>
          <w:i/>
          <w:iCs/>
          <w:lang w:val="en-GB"/>
        </w:rPr>
        <w:t xml:space="preserve"> </w:t>
      </w:r>
      <w:r w:rsidR="00207E0C">
        <w:rPr>
          <w:b/>
          <w:bCs/>
          <w:i/>
          <w:iCs/>
        </w:rPr>
        <w:t xml:space="preserve">UL power boosting on CLI slots can significantly improve UL SINR and UL </w:t>
      </w:r>
      <w:r w:rsidR="009B1634">
        <w:rPr>
          <w:b/>
          <w:bCs/>
          <w:i/>
          <w:iCs/>
        </w:rPr>
        <w:t>UPT</w:t>
      </w:r>
      <w:r w:rsidR="00207E0C">
        <w:rPr>
          <w:b/>
          <w:bCs/>
          <w:i/>
          <w:iCs/>
        </w:rPr>
        <w:t xml:space="preserve"> in the presence of </w:t>
      </w:r>
      <w:r w:rsidR="00B76831">
        <w:rPr>
          <w:b/>
          <w:bCs/>
          <w:i/>
          <w:iCs/>
        </w:rPr>
        <w:t>gNB</w:t>
      </w:r>
      <w:r w:rsidR="00207E0C">
        <w:rPr>
          <w:b/>
          <w:bCs/>
          <w:i/>
          <w:iCs/>
        </w:rPr>
        <w:t>-gNB CLI</w:t>
      </w:r>
      <w:bookmarkEnd w:id="15"/>
      <w:r w:rsidR="00501927">
        <w:rPr>
          <w:b/>
          <w:bCs/>
          <w:i/>
          <w:iCs/>
        </w:rPr>
        <w:t>.</w:t>
      </w:r>
    </w:p>
    <w:p w14:paraId="5F4895BB" w14:textId="77777777" w:rsidR="00191C77" w:rsidRPr="00191C77" w:rsidRDefault="00191C77" w:rsidP="00B76831">
      <w:pPr>
        <w:pStyle w:val="Heading1"/>
        <w:jc w:val="both"/>
      </w:pPr>
      <w:r w:rsidRPr="00191C77">
        <w:t>UE-UE CLI measurement</w:t>
      </w:r>
    </w:p>
    <w:p w14:paraId="68B31DC9" w14:textId="535962FF" w:rsidR="00191C77" w:rsidRDefault="00191C77" w:rsidP="00B76831">
      <w:pPr>
        <w:pStyle w:val="Heading2"/>
        <w:jc w:val="both"/>
        <w:rPr>
          <w:lang w:eastAsia="da-DK"/>
        </w:rPr>
      </w:pPr>
      <w:r w:rsidRPr="002452A0">
        <w:rPr>
          <w:lang w:eastAsia="da-DK"/>
        </w:rPr>
        <w:t xml:space="preserve">Inter-subband UE-UE CLI measurements  </w:t>
      </w:r>
    </w:p>
    <w:p w14:paraId="1D1281D0" w14:textId="59FD923E" w:rsidR="00191C77" w:rsidRPr="002452A0" w:rsidRDefault="00191C77" w:rsidP="00B76831">
      <w:pPr>
        <w:overflowPunct/>
        <w:autoSpaceDE/>
        <w:autoSpaceDN/>
        <w:adjustRightInd/>
        <w:spacing w:after="120"/>
        <w:jc w:val="both"/>
        <w:textAlignment w:val="center"/>
        <w:rPr>
          <w:lang w:eastAsia="da-DK"/>
        </w:rPr>
      </w:pPr>
      <w:r w:rsidRPr="002452A0">
        <w:rPr>
          <w:lang w:eastAsia="da-DK"/>
        </w:rPr>
        <w:t>In R16 SRS-RSRP measurements was introduced to assess the inter-cell, co-channel UE-UE CLI from non-synchronized TDD. In SBFD, on the other hand, the adjacent sub-band intra-cell aggressor candidates need to be compared, too. Although the interference power leaking into the victim’s subband cannot be measured directly by this method, but for ranking aggressors this might not be required. By avoiding simultaneous scheduling with the worst UE aggressor candidates, co-channel (i.e., intra-subband) intercell interference (from aggressor BS – in the case of aligned SBFD layouts) will likely dominate. If so, then measuring and comparing the SRS-RSRP of the adjacent subband aggressor candidates may be sufficient for UE-UE CLI-aware scheduling, without accurately estimating the leakage ratio into the victim’s DL subband.</w:t>
      </w:r>
    </w:p>
    <w:p w14:paraId="0D54AABC" w14:textId="23533E69" w:rsidR="00191C77" w:rsidRPr="002452A0" w:rsidRDefault="00191C77" w:rsidP="00B76831">
      <w:pPr>
        <w:overflowPunct/>
        <w:autoSpaceDE/>
        <w:autoSpaceDN/>
        <w:adjustRightInd/>
        <w:spacing w:after="120"/>
        <w:jc w:val="both"/>
        <w:textAlignment w:val="center"/>
        <w:rPr>
          <w:b/>
          <w:bCs/>
          <w:i/>
          <w:iCs/>
          <w:lang w:eastAsia="da-DK"/>
        </w:rPr>
      </w:pPr>
      <w:bookmarkStart w:id="16" w:name="_Ref111210898"/>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3</w:t>
      </w:r>
      <w:r w:rsidRPr="002452A0">
        <w:rPr>
          <w:b/>
          <w:bCs/>
          <w:i/>
          <w:iCs/>
        </w:rPr>
        <w:fldChar w:fldCharType="end"/>
      </w:r>
      <w:r w:rsidRPr="002452A0">
        <w:rPr>
          <w:b/>
          <w:bCs/>
          <w:i/>
          <w:iCs/>
          <w:lang w:eastAsia="da-DK"/>
        </w:rPr>
        <w:t xml:space="preserve">: </w:t>
      </w:r>
      <w:bookmarkStart w:id="17" w:name="_Ref118368128"/>
      <w:r w:rsidRPr="002452A0">
        <w:rPr>
          <w:b/>
          <w:bCs/>
          <w:i/>
          <w:iCs/>
          <w:lang w:eastAsia="da-DK"/>
        </w:rPr>
        <w:t>Study whether SRS-RSRP-based ranking of UE aggressor candidates is sufficient for the optimization of UL-DL inter-subband CLI.</w:t>
      </w:r>
      <w:bookmarkEnd w:id="16"/>
      <w:bookmarkEnd w:id="17"/>
    </w:p>
    <w:p w14:paraId="2C7BFB96" w14:textId="77777777" w:rsidR="00191C77" w:rsidRPr="002452A0" w:rsidRDefault="00191C77" w:rsidP="00B76831">
      <w:pPr>
        <w:overflowPunct/>
        <w:autoSpaceDE/>
        <w:autoSpaceDN/>
        <w:adjustRightInd/>
        <w:spacing w:after="120"/>
        <w:jc w:val="both"/>
        <w:textAlignment w:val="center"/>
        <w:rPr>
          <w:lang w:eastAsia="da-DK"/>
        </w:rPr>
      </w:pPr>
      <w:r w:rsidRPr="002452A0">
        <w:rPr>
          <w:lang w:eastAsia="da-DK"/>
        </w:rPr>
        <w:t xml:space="preserve">Alternatively, to assess the interference power that effectively leaks into the victim UE’s DL reception, the victim UE could measure CLI-RSSI in its downlink subband. Based on the reported CLI-RSSI the scheduler may not be able to discriminate between the inter-subband cross-link interference(s) and the intra-subband inter-cell interference (DL-DL or UL-DL), unless e.g., the latter is muted. </w:t>
      </w:r>
      <w:r w:rsidRPr="002452A0">
        <w:rPr>
          <w:i/>
          <w:iCs/>
          <w:lang w:eastAsia="da-DK"/>
        </w:rPr>
        <w:t>RRC IE RateMatchPattern</w:t>
      </w:r>
      <w:r w:rsidRPr="002452A0">
        <w:rPr>
          <w:lang w:eastAsia="da-DK"/>
        </w:rPr>
        <w:t xml:space="preserve"> may be used for RB-level PDSCH muting purposes.   </w:t>
      </w:r>
    </w:p>
    <w:p w14:paraId="2B6F752C" w14:textId="77777777" w:rsidR="00191C77" w:rsidRPr="002452A0" w:rsidRDefault="00191C77" w:rsidP="00B76831">
      <w:pPr>
        <w:overflowPunct/>
        <w:autoSpaceDE/>
        <w:autoSpaceDN/>
        <w:adjustRightInd/>
        <w:spacing w:after="120"/>
        <w:jc w:val="both"/>
        <w:textAlignment w:val="center"/>
        <w:rPr>
          <w:lang w:eastAsia="da-DK"/>
        </w:rPr>
      </w:pPr>
      <w:r w:rsidRPr="002452A0">
        <w:rPr>
          <w:lang w:eastAsia="da-DK"/>
        </w:rPr>
        <w:t xml:space="preserve">Furthermore, the adjacent subband interference ratio can also be estimated if CLI-RSSI can be measured in both the aggressor’s subband and the victim’s subband while inter-cell interference is muted in both subbands during the measurement. Yet, this ratio may or may not be necessary (e.g., to offset reported SRS-RSRP values) for the scheduling based on the circumstances. </w:t>
      </w:r>
    </w:p>
    <w:p w14:paraId="5C33ECB5" w14:textId="1BAD26A8" w:rsidR="00191C77" w:rsidRPr="002452A0" w:rsidRDefault="00191C77" w:rsidP="00B76831">
      <w:pPr>
        <w:overflowPunct/>
        <w:autoSpaceDE/>
        <w:autoSpaceDN/>
        <w:adjustRightInd/>
        <w:spacing w:after="120"/>
        <w:jc w:val="both"/>
        <w:textAlignment w:val="center"/>
        <w:rPr>
          <w:b/>
          <w:bCs/>
          <w:i/>
          <w:iCs/>
          <w:lang w:eastAsia="da-DK"/>
        </w:rPr>
      </w:pPr>
      <w:bookmarkStart w:id="18" w:name="_Ref111210902"/>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4</w:t>
      </w:r>
      <w:r w:rsidRPr="002452A0">
        <w:rPr>
          <w:b/>
          <w:bCs/>
          <w:i/>
          <w:iCs/>
        </w:rPr>
        <w:fldChar w:fldCharType="end"/>
      </w:r>
      <w:r w:rsidRPr="002452A0">
        <w:rPr>
          <w:b/>
          <w:bCs/>
          <w:i/>
          <w:iCs/>
          <w:lang w:eastAsia="da-DK"/>
        </w:rPr>
        <w:t xml:space="preserve">: </w:t>
      </w:r>
      <w:bookmarkStart w:id="19" w:name="_Ref118368151"/>
      <w:r w:rsidRPr="002452A0">
        <w:rPr>
          <w:b/>
          <w:bCs/>
          <w:i/>
          <w:iCs/>
          <w:lang w:eastAsia="da-DK"/>
        </w:rPr>
        <w:t>Study the feasibility and cost of muting co-channel interferer for the assessment of inter-subband UE CLI using CLI-RSSI measurements.</w:t>
      </w:r>
      <w:bookmarkEnd w:id="18"/>
      <w:bookmarkEnd w:id="19"/>
    </w:p>
    <w:p w14:paraId="71E33999" w14:textId="77777777" w:rsidR="00191C77" w:rsidRPr="002452A0" w:rsidRDefault="00191C77" w:rsidP="00B76831">
      <w:pPr>
        <w:overflowPunct/>
        <w:autoSpaceDE/>
        <w:autoSpaceDN/>
        <w:adjustRightInd/>
        <w:spacing w:after="120"/>
        <w:jc w:val="both"/>
        <w:textAlignment w:val="center"/>
      </w:pPr>
      <w:r w:rsidRPr="002452A0">
        <w:t xml:space="preserve">In the current specification, UE-UE CLI measurement is supported by Layer-3 measurement and reporting framework. This allows accurate measurement and tracking of the large-scale fading </w:t>
      </w:r>
      <w:proofErr w:type="spellStart"/>
      <w:r w:rsidRPr="002452A0">
        <w:t>w.r.t.</w:t>
      </w:r>
      <w:proofErr w:type="spellEnd"/>
      <w:r w:rsidRPr="002452A0">
        <w:t xml:space="preserve"> the aggressor using L3 filtering (which can also be disabled). Up to 32 different SRS-RSRP and 64 CLI_RSSI measurement objects can be configured with separate measurement resources. The minimum latencies of RRC configuration and event triggered RRC reporting are in the realm of ten milliseconds (while periodic reporting could be configured with an interval of minimum 120ms), which is adequate for coordinating measurements and interference mitigation with </w:t>
      </w:r>
      <w:proofErr w:type="spellStart"/>
      <w:r w:rsidRPr="002452A0">
        <w:t>neighbour</w:t>
      </w:r>
      <w:proofErr w:type="spellEnd"/>
      <w:r w:rsidRPr="002452A0">
        <w:t xml:space="preserve"> cells, but for ad-hoc assessment of inter-subband cross-link interferences within the cell may be too slow. Due to the dynamic nature of SBFD scheduling and the</w:t>
      </w:r>
      <w:r>
        <w:t xml:space="preserve"> </w:t>
      </w:r>
      <w:r w:rsidRPr="002452A0">
        <w:t xml:space="preserve">increased number of UE-UE pairs to be assessed, Layer-3 UE-UE CLI measurement enabling and disabling may not be flexible enough. Therefore, the need for Layer-1 UE-UE CLI measurement, and the details of its features should be studied. </w:t>
      </w:r>
    </w:p>
    <w:p w14:paraId="5A74A635" w14:textId="1779729D" w:rsidR="005D1D88" w:rsidRPr="009C1778" w:rsidRDefault="00191C77" w:rsidP="00B76831">
      <w:pPr>
        <w:overflowPunct/>
        <w:autoSpaceDE/>
        <w:autoSpaceDN/>
        <w:adjustRightInd/>
        <w:spacing w:after="120"/>
        <w:jc w:val="both"/>
        <w:textAlignment w:val="center"/>
        <w:rPr>
          <w:b/>
          <w:bCs/>
          <w:i/>
          <w:iCs/>
        </w:rPr>
      </w:pPr>
      <w:bookmarkStart w:id="20" w:name="_Ref11121090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5</w:t>
      </w:r>
      <w:r w:rsidRPr="002452A0">
        <w:rPr>
          <w:b/>
          <w:bCs/>
          <w:i/>
          <w:iCs/>
        </w:rPr>
        <w:fldChar w:fldCharType="end"/>
      </w:r>
      <w:r w:rsidRPr="002452A0">
        <w:rPr>
          <w:b/>
          <w:bCs/>
          <w:i/>
          <w:iCs/>
        </w:rPr>
        <w:t xml:space="preserve">: </w:t>
      </w:r>
      <w:bookmarkStart w:id="21" w:name="_Ref118368162"/>
      <w:r w:rsidRPr="002452A0">
        <w:rPr>
          <w:b/>
          <w:bCs/>
          <w:i/>
          <w:iCs/>
        </w:rPr>
        <w:t>S</w:t>
      </w:r>
      <w:r w:rsidR="00130448">
        <w:rPr>
          <w:b/>
          <w:bCs/>
          <w:i/>
          <w:iCs/>
        </w:rPr>
        <w:t>upport</w:t>
      </w:r>
      <w:r w:rsidRPr="002452A0">
        <w:rPr>
          <w:b/>
          <w:bCs/>
          <w:i/>
          <w:iCs/>
        </w:rPr>
        <w:t xml:space="preserve"> Layer-1 UE-UE CLI </w:t>
      </w:r>
      <w:r w:rsidR="001C654D" w:rsidRPr="002452A0">
        <w:rPr>
          <w:b/>
          <w:bCs/>
          <w:i/>
          <w:iCs/>
        </w:rPr>
        <w:t>measurement and</w:t>
      </w:r>
      <w:r w:rsidRPr="002452A0">
        <w:rPr>
          <w:b/>
          <w:bCs/>
          <w:i/>
          <w:iCs/>
        </w:rPr>
        <w:t xml:space="preserve"> </w:t>
      </w:r>
      <w:r w:rsidR="00130448">
        <w:rPr>
          <w:b/>
          <w:bCs/>
          <w:i/>
          <w:iCs/>
        </w:rPr>
        <w:t xml:space="preserve">study </w:t>
      </w:r>
      <w:r w:rsidRPr="002452A0">
        <w:rPr>
          <w:b/>
          <w:bCs/>
          <w:i/>
          <w:iCs/>
        </w:rPr>
        <w:t>the details of its features.</w:t>
      </w:r>
      <w:bookmarkEnd w:id="20"/>
      <w:bookmarkEnd w:id="21"/>
    </w:p>
    <w:p w14:paraId="2AD1CB60" w14:textId="6B43CEBA" w:rsidR="007F3099" w:rsidRDefault="007F3099" w:rsidP="00B76831">
      <w:pPr>
        <w:pStyle w:val="Heading2"/>
        <w:jc w:val="both"/>
      </w:pPr>
      <w:r w:rsidRPr="002452A0">
        <w:rPr>
          <w:lang w:eastAsia="da-DK"/>
        </w:rPr>
        <w:lastRenderedPageBreak/>
        <w:t>Reverse</w:t>
      </w:r>
      <w:r w:rsidRPr="002452A0">
        <w:t xml:space="preserve"> UE-UE CLI measurements</w:t>
      </w:r>
    </w:p>
    <w:p w14:paraId="01D8110B" w14:textId="4C0DE356" w:rsidR="007F3099" w:rsidRDefault="007F3099" w:rsidP="00B76831">
      <w:pPr>
        <w:jc w:val="both"/>
      </w:pPr>
      <w:r w:rsidRPr="002452A0">
        <w:t xml:space="preserve">One challenge for SBFD deployment is the presence of legacy UEs that </w:t>
      </w:r>
      <w:proofErr w:type="gramStart"/>
      <w:r w:rsidRPr="002452A0">
        <w:t>don’t</w:t>
      </w:r>
      <w:proofErr w:type="gramEnd"/>
      <w:r w:rsidRPr="002452A0">
        <w:t xml:space="preserve"> support R16 CLI measurement. For such UEs, the network </w:t>
      </w:r>
      <w:proofErr w:type="gramStart"/>
      <w:r w:rsidRPr="002452A0">
        <w:t>can’t</w:t>
      </w:r>
      <w:proofErr w:type="gramEnd"/>
      <w:r w:rsidRPr="002452A0">
        <w:t xml:space="preserve"> adopt scheduling algorithm to avoid simultaneous scheduling of UE with proximity (i.e., with high inter-UE CLI). On</w:t>
      </w:r>
      <w:r w:rsidR="00436FA3">
        <w:t>e</w:t>
      </w:r>
      <w:r w:rsidRPr="002452A0">
        <w:t xml:space="preserve"> possible solution is </w:t>
      </w:r>
      <w:r w:rsidR="00FD61BD" w:rsidRPr="002452A0">
        <w:t>utilizing</w:t>
      </w:r>
      <w:r w:rsidRPr="002452A0">
        <w:t xml:space="preserve"> the CLI report from a UE that supports CLI measurement to estimate the CLI that UE could cause to legacy UE that </w:t>
      </w:r>
      <w:proofErr w:type="gramStart"/>
      <w:r w:rsidRPr="002452A0">
        <w:t>doesn’t</w:t>
      </w:r>
      <w:proofErr w:type="gramEnd"/>
      <w:r w:rsidRPr="002452A0">
        <w:t xml:space="preserve"> support CLI measurement. UE-UE CLI-prediction based on measurement in reverse Tx-Rx direction can be used to protect legacy UEs not supporting UE-UE CLI measurements</w:t>
      </w:r>
      <w:r>
        <w:t xml:space="preserve">. </w:t>
      </w:r>
      <w:r w:rsidRPr="002452A0">
        <w:t>However, due to asymmetries of Tx and Rx branches (e.g., number of Tx and Rx antennae), Tx-Rx reciprocity will not always hold, or will hold for large-scale propagation parameters only. Therefore, RAN1 should study the feasibility of using “reverse” UE-UE CLI measurement to protect legacy UEs not supporting CLI measurements.</w:t>
      </w:r>
    </w:p>
    <w:p w14:paraId="5FB0AA6A" w14:textId="7D10D2FF" w:rsidR="007F3099" w:rsidRPr="002452A0" w:rsidRDefault="007F3099" w:rsidP="00B76831">
      <w:pPr>
        <w:overflowPunct/>
        <w:autoSpaceDE/>
        <w:adjustRightInd/>
        <w:spacing w:after="120"/>
        <w:contextualSpacing/>
        <w:jc w:val="both"/>
        <w:textAlignment w:val="center"/>
      </w:pPr>
      <w:r w:rsidRPr="002452A0">
        <w:t>In FR1, we may consider, for simplicity, an example configuration of 1Tx4Rx antenna configuration for both the aggressor and the victim UEs. In reverse CLI-measurement, the victim has the role of Tx instead of Rx, and the aggressor turns to Rx instead of Tx. To collect measurements over all antennae of the victim UE, the victim can be configured to transmit a set of SRS resources with ‘</w:t>
      </w:r>
      <w:r w:rsidRPr="002452A0">
        <w:rPr>
          <w:i/>
          <w:iCs/>
        </w:rPr>
        <w:t>usage</w:t>
      </w:r>
      <w:r w:rsidRPr="002452A0">
        <w:t>’ set to ‘</w:t>
      </w:r>
      <w:proofErr w:type="spellStart"/>
      <w:r w:rsidRPr="002452A0">
        <w:rPr>
          <w:i/>
          <w:iCs/>
        </w:rPr>
        <w:t>antennaSwitching</w:t>
      </w:r>
      <w:proofErr w:type="spellEnd"/>
      <w:r w:rsidRPr="002452A0">
        <w:t xml:space="preserve">’ </w:t>
      </w:r>
      <w:r w:rsidRPr="00692B56">
        <w:fldChar w:fldCharType="begin"/>
      </w:r>
      <w:r w:rsidRPr="00692B56">
        <w:instrText xml:space="preserve"> REF _Ref110508616 \n \h  \* MERGEFORMAT </w:instrText>
      </w:r>
      <w:r w:rsidRPr="00692B56">
        <w:fldChar w:fldCharType="separate"/>
      </w:r>
      <w:r w:rsidR="0064000E">
        <w:rPr>
          <w:cs/>
        </w:rPr>
        <w:t>‎</w:t>
      </w:r>
      <w:r w:rsidR="0064000E">
        <w:t>[3]</w:t>
      </w:r>
      <w:r w:rsidRPr="00692B56">
        <w:fldChar w:fldCharType="end"/>
      </w:r>
      <w:r w:rsidRPr="002452A0">
        <w:t xml:space="preserve"> (</w:t>
      </w:r>
      <w:r w:rsidRPr="002452A0">
        <w:fldChar w:fldCharType="begin"/>
      </w:r>
      <w:r w:rsidRPr="002452A0">
        <w:instrText xml:space="preserve"> REF _Ref110506082 \h  \* MERGEFORMAT </w:instrText>
      </w:r>
      <w:r w:rsidRPr="002452A0">
        <w:fldChar w:fldCharType="separate"/>
      </w:r>
      <w:r w:rsidR="0064000E" w:rsidRPr="002452A0">
        <w:t xml:space="preserve">Figure </w:t>
      </w:r>
      <w:r w:rsidR="0064000E">
        <w:rPr>
          <w:noProof/>
        </w:rPr>
        <w:t>7</w:t>
      </w:r>
      <w:r w:rsidRPr="002452A0">
        <w:fldChar w:fldCharType="end"/>
      </w:r>
      <w:r w:rsidRPr="002452A0">
        <w:t xml:space="preserve">). As for the measuring UE, according to the current standard, the following </w:t>
      </w:r>
      <w:r w:rsidR="00ED1D53" w:rsidRPr="002452A0">
        <w:t>behavior</w:t>
      </w:r>
      <w:r w:rsidRPr="002452A0">
        <w:t xml:space="preserve"> can be configured for each SRS-Resource separately:</w:t>
      </w:r>
    </w:p>
    <w:p w14:paraId="5BFEEA68"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Measure SRS-RSRP per each Rx branch</w:t>
      </w:r>
    </w:p>
    <w:p w14:paraId="5D737644"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Aggregate SRS-RSRP over Rx branches</w:t>
      </w:r>
    </w:p>
    <w:p w14:paraId="318CEA6B"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Filter SRS-RSRP</w:t>
      </w:r>
    </w:p>
    <w:p w14:paraId="0609CAF0" w14:textId="0FAFC292"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 xml:space="preserve">(Evaluate </w:t>
      </w:r>
      <w:r w:rsidR="00ED1D53" w:rsidRPr="002452A0">
        <w:rPr>
          <w:sz w:val="20"/>
          <w:szCs w:val="20"/>
        </w:rPr>
        <w:t>trigger if</w:t>
      </w:r>
      <w:r w:rsidRPr="002452A0">
        <w:rPr>
          <w:sz w:val="20"/>
          <w:szCs w:val="20"/>
        </w:rPr>
        <w:t xml:space="preserve"> event triggered reporting)</w:t>
      </w:r>
    </w:p>
    <w:p w14:paraId="440A717D" w14:textId="184C8723" w:rsidR="007F3099" w:rsidRPr="007F3099" w:rsidRDefault="007F3099" w:rsidP="00B76831">
      <w:pPr>
        <w:pStyle w:val="ListParagraph"/>
        <w:numPr>
          <w:ilvl w:val="0"/>
          <w:numId w:val="18"/>
        </w:numPr>
        <w:tabs>
          <w:tab w:val="num" w:pos="360"/>
        </w:tabs>
        <w:spacing w:after="120"/>
        <w:ind w:left="714" w:firstLineChars="0" w:hanging="357"/>
        <w:contextualSpacing/>
        <w:jc w:val="both"/>
        <w:textAlignment w:val="center"/>
        <w:rPr>
          <w:sz w:val="20"/>
          <w:szCs w:val="20"/>
        </w:rPr>
      </w:pPr>
      <w:r w:rsidRPr="002452A0">
        <w:rPr>
          <w:sz w:val="20"/>
          <w:szCs w:val="20"/>
        </w:rPr>
        <w:t xml:space="preserve">Report </w:t>
      </w:r>
      <w:r w:rsidR="00ED1D53" w:rsidRPr="002452A0">
        <w:rPr>
          <w:sz w:val="20"/>
          <w:szCs w:val="20"/>
        </w:rPr>
        <w:t>results</w:t>
      </w:r>
      <w:r w:rsidRPr="002452A0">
        <w:rPr>
          <w:sz w:val="20"/>
          <w:szCs w:val="20"/>
        </w:rPr>
        <w:t xml:space="preserve"> along with </w:t>
      </w:r>
      <w:proofErr w:type="spellStart"/>
      <w:r w:rsidRPr="002452A0">
        <w:rPr>
          <w:sz w:val="20"/>
          <w:szCs w:val="20"/>
        </w:rPr>
        <w:t>Meas</w:t>
      </w:r>
      <w:proofErr w:type="spellEnd"/>
      <w:r w:rsidRPr="002452A0">
        <w:rPr>
          <w:sz w:val="20"/>
          <w:szCs w:val="20"/>
        </w:rPr>
        <w:t>-id and SRS-id</w:t>
      </w:r>
    </w:p>
    <w:p w14:paraId="235EAB23" w14:textId="6E20F10F" w:rsidR="007F3099" w:rsidRPr="007F3099" w:rsidRDefault="007F3099" w:rsidP="00FB4DAC">
      <w:pPr>
        <w:spacing w:after="0"/>
        <w:jc w:val="center"/>
      </w:pPr>
      <w:r w:rsidRPr="002452A0">
        <w:rPr>
          <w:noProof/>
        </w:rPr>
        <w:drawing>
          <wp:inline distT="0" distB="0" distL="0" distR="0" wp14:anchorId="00CCC8C2" wp14:editId="5AD074F1">
            <wp:extent cx="4612943" cy="21821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3468" cy="2196587"/>
                    </a:xfrm>
                    <a:prstGeom prst="rect">
                      <a:avLst/>
                    </a:prstGeom>
                    <a:noFill/>
                    <a:ln>
                      <a:noFill/>
                    </a:ln>
                  </pic:spPr>
                </pic:pic>
              </a:graphicData>
            </a:graphic>
          </wp:inline>
        </w:drawing>
      </w:r>
    </w:p>
    <w:p w14:paraId="2737A71B" w14:textId="6D5AE09C" w:rsidR="00191C77" w:rsidRDefault="007F3099" w:rsidP="0043198E">
      <w:pPr>
        <w:jc w:val="center"/>
      </w:pPr>
      <w:r>
        <w:t xml:space="preserve">Figure </w:t>
      </w:r>
      <w:r w:rsidR="000A3D04">
        <w:fldChar w:fldCharType="begin"/>
      </w:r>
      <w:r w:rsidR="000A3D04">
        <w:instrText xml:space="preserve"> SEQ Figure \* ARABIC </w:instrText>
      </w:r>
      <w:r w:rsidR="000A3D04">
        <w:fldChar w:fldCharType="separate"/>
      </w:r>
      <w:r w:rsidR="0064000E">
        <w:rPr>
          <w:noProof/>
        </w:rPr>
        <w:t>6</w:t>
      </w:r>
      <w:r w:rsidR="000A3D04">
        <w:rPr>
          <w:noProof/>
        </w:rPr>
        <w:fldChar w:fldCharType="end"/>
      </w:r>
      <w:r>
        <w:t xml:space="preserve">: </w:t>
      </w:r>
      <w:r w:rsidRPr="002452A0">
        <w:t>Forward and reverse CLI-measurement and prediction scenarios involving one legacy UE without CLI-measurement UE capability.</w:t>
      </w:r>
    </w:p>
    <w:p w14:paraId="39385B96" w14:textId="687F6460" w:rsidR="007F3099" w:rsidRPr="002452A0" w:rsidRDefault="007F3099" w:rsidP="00B76831">
      <w:pPr>
        <w:spacing w:after="120"/>
        <w:contextualSpacing/>
        <w:jc w:val="both"/>
      </w:pPr>
      <w:r w:rsidRPr="002452A0">
        <w:t xml:space="preserve">The above SRS-RSRP measurement </w:t>
      </w:r>
      <w:r w:rsidR="00ED1D53" w:rsidRPr="002452A0">
        <w:t>behavior</w:t>
      </w:r>
      <w:r w:rsidRPr="002452A0">
        <w:t xml:space="preserve"> has the following limitations when used for reverse CLI-prediction: </w:t>
      </w:r>
    </w:p>
    <w:p w14:paraId="421E54CC" w14:textId="77777777" w:rsidR="007F3099" w:rsidRPr="002452A0" w:rsidRDefault="007F3099" w:rsidP="00B76831">
      <w:pPr>
        <w:pStyle w:val="ListParagraph"/>
        <w:numPr>
          <w:ilvl w:val="0"/>
          <w:numId w:val="17"/>
        </w:numPr>
        <w:spacing w:after="120"/>
        <w:ind w:left="714" w:firstLineChars="0" w:hanging="357"/>
        <w:contextualSpacing/>
        <w:jc w:val="both"/>
        <w:rPr>
          <w:sz w:val="20"/>
          <w:szCs w:val="20"/>
        </w:rPr>
      </w:pPr>
      <w:r w:rsidRPr="002452A0">
        <w:rPr>
          <w:sz w:val="20"/>
          <w:szCs w:val="20"/>
        </w:rPr>
        <w:t>Only the aggregate SRS-RSRP value is reported dropping the values measured per Rx antenna.</w:t>
      </w:r>
    </w:p>
    <w:p w14:paraId="20A7DEA4" w14:textId="77777777" w:rsidR="007F3099" w:rsidRPr="002452A0" w:rsidRDefault="007F3099" w:rsidP="00B76831">
      <w:pPr>
        <w:pStyle w:val="ListParagraph"/>
        <w:numPr>
          <w:ilvl w:val="0"/>
          <w:numId w:val="17"/>
        </w:numPr>
        <w:spacing w:after="120"/>
        <w:ind w:left="714" w:firstLineChars="0" w:hanging="357"/>
        <w:contextualSpacing/>
        <w:jc w:val="both"/>
        <w:rPr>
          <w:sz w:val="20"/>
          <w:szCs w:val="20"/>
        </w:rPr>
      </w:pPr>
      <w:r w:rsidRPr="002452A0">
        <w:rPr>
          <w:sz w:val="20"/>
          <w:szCs w:val="20"/>
        </w:rPr>
        <w:t>SRS-resources transmitted over switched antennae will be reported on separately by measuring UE, causing inefficiency.</w:t>
      </w:r>
    </w:p>
    <w:p w14:paraId="63150CD2" w14:textId="77777777" w:rsidR="007F3099" w:rsidRPr="002452A0" w:rsidRDefault="007F3099" w:rsidP="00B76831">
      <w:pPr>
        <w:jc w:val="both"/>
      </w:pPr>
      <w:r w:rsidRPr="002452A0">
        <w:t>Therefore, we propose that the UE reports SRS-RSRP (or CLI-RSSI) per Rx antenna separately and SRS-RSRP measurement resource can be configured to report an aggregate SRS-RSRP value measured over a set of SRS resources.</w:t>
      </w:r>
    </w:p>
    <w:p w14:paraId="37970F72" w14:textId="4882DEB1" w:rsidR="007F3099" w:rsidRPr="007F3099" w:rsidRDefault="007F3099" w:rsidP="00FB4DAC">
      <w:pPr>
        <w:spacing w:after="0"/>
        <w:jc w:val="center"/>
      </w:pPr>
      <w:r w:rsidRPr="002452A0">
        <w:rPr>
          <w:noProof/>
        </w:rPr>
        <w:lastRenderedPageBreak/>
        <w:drawing>
          <wp:inline distT="0" distB="0" distL="0" distR="0" wp14:anchorId="5FA611D4" wp14:editId="0106D094">
            <wp:extent cx="5422781" cy="2518202"/>
            <wp:effectExtent l="0" t="0" r="6985" b="0"/>
            <wp:docPr id="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4452" cy="2523622"/>
                    </a:xfrm>
                    <a:prstGeom prst="rect">
                      <a:avLst/>
                    </a:prstGeom>
                    <a:noFill/>
                    <a:ln>
                      <a:noFill/>
                    </a:ln>
                  </pic:spPr>
                </pic:pic>
              </a:graphicData>
            </a:graphic>
          </wp:inline>
        </w:drawing>
      </w:r>
    </w:p>
    <w:p w14:paraId="55415162" w14:textId="170982F0" w:rsidR="007F3099" w:rsidRPr="002452A0" w:rsidRDefault="007F3099" w:rsidP="0043198E">
      <w:pPr>
        <w:jc w:val="center"/>
      </w:pPr>
      <w:bookmarkStart w:id="22" w:name="_Ref110506082"/>
      <w:r w:rsidRPr="002452A0">
        <w:t xml:space="preserve">Figure </w:t>
      </w:r>
      <w:r w:rsidR="000A3D04">
        <w:fldChar w:fldCharType="begin"/>
      </w:r>
      <w:r w:rsidR="000A3D04">
        <w:instrText xml:space="preserve"> SEQ Figure \* ARABIC </w:instrText>
      </w:r>
      <w:r w:rsidR="000A3D04">
        <w:fldChar w:fldCharType="separate"/>
      </w:r>
      <w:r w:rsidR="0064000E">
        <w:rPr>
          <w:noProof/>
        </w:rPr>
        <w:t>7</w:t>
      </w:r>
      <w:r w:rsidR="000A3D04">
        <w:rPr>
          <w:noProof/>
        </w:rPr>
        <w:fldChar w:fldCharType="end"/>
      </w:r>
      <w:bookmarkEnd w:id="22"/>
      <w:r w:rsidRPr="002452A0">
        <w:t>: SRS-RSRP measurement with transmit-side usage of ‘</w:t>
      </w:r>
      <w:proofErr w:type="spellStart"/>
      <w:r w:rsidRPr="002452A0">
        <w:t>antennaSwitching</w:t>
      </w:r>
      <w:proofErr w:type="spellEnd"/>
      <w:r w:rsidRPr="002452A0">
        <w:t>’ using the current features of the standard</w:t>
      </w:r>
    </w:p>
    <w:p w14:paraId="469DEA8A" w14:textId="00EB7BAD" w:rsidR="00D26861" w:rsidRPr="002452A0" w:rsidRDefault="00D26861" w:rsidP="00B76831">
      <w:pPr>
        <w:overflowPunct/>
        <w:autoSpaceDE/>
        <w:autoSpaceDN/>
        <w:adjustRightInd/>
        <w:spacing w:after="120"/>
        <w:jc w:val="both"/>
        <w:textAlignment w:val="center"/>
        <w:rPr>
          <w:b/>
          <w:bCs/>
          <w:i/>
          <w:iCs/>
        </w:rPr>
      </w:pPr>
      <w:bookmarkStart w:id="23" w:name="_Ref111210735"/>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64000E">
        <w:rPr>
          <w:b/>
          <w:bCs/>
          <w:i/>
          <w:iCs/>
          <w:noProof/>
        </w:rPr>
        <w:t>3</w:t>
      </w:r>
      <w:r w:rsidRPr="002452A0">
        <w:rPr>
          <w:b/>
          <w:bCs/>
          <w:i/>
          <w:iCs/>
        </w:rPr>
        <w:fldChar w:fldCharType="end"/>
      </w:r>
      <w:r w:rsidRPr="002452A0">
        <w:rPr>
          <w:b/>
          <w:bCs/>
          <w:i/>
          <w:iCs/>
        </w:rPr>
        <w:t xml:space="preserve">: </w:t>
      </w:r>
      <w:bookmarkStart w:id="24" w:name="_Ref118367732"/>
      <w:r w:rsidRPr="002452A0">
        <w:rPr>
          <w:b/>
          <w:bCs/>
          <w:i/>
          <w:iCs/>
        </w:rPr>
        <w:t>UE-UE CLI-prediction based on measurement in reverse Tx-Rx direction is useful to protect legacy UEs not supporting such measurements.</w:t>
      </w:r>
      <w:bookmarkEnd w:id="23"/>
      <w:bookmarkEnd w:id="24"/>
      <w:r w:rsidRPr="002452A0">
        <w:rPr>
          <w:b/>
          <w:bCs/>
          <w:i/>
          <w:iCs/>
        </w:rPr>
        <w:t xml:space="preserve"> </w:t>
      </w:r>
    </w:p>
    <w:p w14:paraId="333B8F4B" w14:textId="677B6387" w:rsidR="00D26861" w:rsidRPr="002452A0" w:rsidRDefault="00D26861" w:rsidP="00B76831">
      <w:pPr>
        <w:overflowPunct/>
        <w:autoSpaceDE/>
        <w:autoSpaceDN/>
        <w:adjustRightInd/>
        <w:spacing w:after="120"/>
        <w:jc w:val="both"/>
        <w:textAlignment w:val="center"/>
        <w:rPr>
          <w:b/>
          <w:bCs/>
          <w:i/>
          <w:iCs/>
        </w:rPr>
      </w:pPr>
      <w:bookmarkStart w:id="25" w:name="_Ref111210907"/>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6</w:t>
      </w:r>
      <w:r w:rsidRPr="002452A0">
        <w:rPr>
          <w:b/>
          <w:bCs/>
          <w:i/>
          <w:iCs/>
        </w:rPr>
        <w:fldChar w:fldCharType="end"/>
      </w:r>
      <w:r w:rsidRPr="002452A0">
        <w:rPr>
          <w:b/>
          <w:bCs/>
          <w:i/>
          <w:iCs/>
        </w:rPr>
        <w:t xml:space="preserve">: </w:t>
      </w:r>
      <w:bookmarkStart w:id="26" w:name="_Ref118368172"/>
      <w:r w:rsidRPr="002452A0">
        <w:rPr>
          <w:b/>
          <w:bCs/>
          <w:i/>
          <w:iCs/>
        </w:rPr>
        <w:t>RAN1 to study the feasibility of using “reverse” UE-UE CLI measurement to protect legacy UEs not supporting such measurements.</w:t>
      </w:r>
      <w:bookmarkEnd w:id="25"/>
      <w:bookmarkEnd w:id="26"/>
    </w:p>
    <w:p w14:paraId="0EF4FDF3" w14:textId="0337ED36" w:rsidR="00D26861" w:rsidRPr="002452A0" w:rsidRDefault="00D26861" w:rsidP="00B76831">
      <w:pPr>
        <w:overflowPunct/>
        <w:autoSpaceDE/>
        <w:autoSpaceDN/>
        <w:adjustRightInd/>
        <w:spacing w:after="0"/>
        <w:jc w:val="both"/>
        <w:textAlignment w:val="center"/>
        <w:rPr>
          <w:b/>
          <w:bCs/>
          <w:i/>
          <w:iCs/>
        </w:rPr>
      </w:pPr>
      <w:bookmarkStart w:id="27" w:name="_Ref111210737"/>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64000E">
        <w:rPr>
          <w:b/>
          <w:bCs/>
          <w:i/>
          <w:iCs/>
          <w:noProof/>
        </w:rPr>
        <w:t>4</w:t>
      </w:r>
      <w:r w:rsidRPr="002452A0">
        <w:rPr>
          <w:b/>
          <w:bCs/>
          <w:i/>
          <w:iCs/>
        </w:rPr>
        <w:fldChar w:fldCharType="end"/>
      </w:r>
      <w:r w:rsidRPr="002452A0">
        <w:rPr>
          <w:b/>
          <w:bCs/>
          <w:i/>
          <w:iCs/>
        </w:rPr>
        <w:t xml:space="preserve">: </w:t>
      </w:r>
      <w:bookmarkStart w:id="28" w:name="_Ref118367766"/>
      <w:r w:rsidRPr="002452A0">
        <w:rPr>
          <w:b/>
          <w:bCs/>
          <w:i/>
          <w:iCs/>
        </w:rPr>
        <w:t>SRS-RSRP measurement has the following limitations when used for reverse CLI-prediction:</w:t>
      </w:r>
      <w:bookmarkEnd w:id="27"/>
      <w:bookmarkEnd w:id="28"/>
      <w:r w:rsidRPr="002452A0">
        <w:rPr>
          <w:b/>
          <w:bCs/>
          <w:i/>
          <w:iCs/>
        </w:rPr>
        <w:t xml:space="preserve"> </w:t>
      </w:r>
    </w:p>
    <w:p w14:paraId="67BF149D" w14:textId="77777777" w:rsidR="00D26861" w:rsidRPr="002452A0" w:rsidRDefault="00D26861" w:rsidP="00B76831">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2886B3DD" w14:textId="77777777" w:rsidR="00D26861" w:rsidRPr="002452A0" w:rsidRDefault="00D26861" w:rsidP="00B76831">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52AEDD2E" w14:textId="5188CE7C" w:rsidR="00D26861" w:rsidRPr="002452A0" w:rsidRDefault="00D26861" w:rsidP="00B76831">
      <w:pPr>
        <w:overflowPunct/>
        <w:autoSpaceDE/>
        <w:autoSpaceDN/>
        <w:adjustRightInd/>
        <w:spacing w:after="120"/>
        <w:jc w:val="both"/>
        <w:textAlignment w:val="center"/>
        <w:rPr>
          <w:b/>
          <w:bCs/>
          <w:i/>
          <w:iCs/>
        </w:rPr>
      </w:pPr>
      <w:bookmarkStart w:id="29" w:name="_Ref111210909"/>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7</w:t>
      </w:r>
      <w:r w:rsidRPr="002452A0">
        <w:rPr>
          <w:b/>
          <w:bCs/>
          <w:i/>
          <w:iCs/>
        </w:rPr>
        <w:fldChar w:fldCharType="end"/>
      </w:r>
      <w:r w:rsidRPr="002452A0">
        <w:rPr>
          <w:b/>
          <w:bCs/>
          <w:i/>
          <w:iCs/>
        </w:rPr>
        <w:t xml:space="preserve">: </w:t>
      </w:r>
      <w:bookmarkStart w:id="30" w:name="_Ref118368194"/>
      <w:r w:rsidRPr="009B79BD">
        <w:rPr>
          <w:b/>
          <w:bCs/>
          <w:i/>
          <w:iCs/>
        </w:rPr>
        <w:t>UE can be configured to report SRS-RSRP (or CLI-RSSI) per Rx antenna separately</w:t>
      </w:r>
      <w:r w:rsidRPr="002452A0">
        <w:rPr>
          <w:b/>
          <w:bCs/>
          <w:i/>
          <w:iCs/>
        </w:rPr>
        <w:t>.</w:t>
      </w:r>
      <w:bookmarkEnd w:id="29"/>
      <w:bookmarkEnd w:id="30"/>
    </w:p>
    <w:p w14:paraId="339077E8" w14:textId="288292C4" w:rsidR="00D26861" w:rsidRDefault="00D26861" w:rsidP="00B76831">
      <w:pPr>
        <w:overflowPunct/>
        <w:autoSpaceDE/>
        <w:autoSpaceDN/>
        <w:adjustRightInd/>
        <w:spacing w:after="120"/>
        <w:jc w:val="both"/>
        <w:textAlignment w:val="center"/>
      </w:pPr>
      <w:r w:rsidRPr="002452A0">
        <w:t>In FR2, potential differences in the Tx and Rx analog beam patterns may hinder Tx-Rx reciprocity in reverse CLI-measurement scenario. Therefore, the measuring UE should be configured to use its appropriate Tx analog beam pattern (instead of Rx beam pattern). To this end, the configuration QCL-</w:t>
      </w:r>
      <w:proofErr w:type="spellStart"/>
      <w:r w:rsidRPr="002452A0">
        <w:t>TypeD</w:t>
      </w:r>
      <w:proofErr w:type="spellEnd"/>
      <w:r w:rsidRPr="002452A0">
        <w:t xml:space="preserve"> spatial relationship information should be supported for SRS-RSRP measurement resources. </w:t>
      </w:r>
      <w:r w:rsidRPr="002452A0">
        <w:fldChar w:fldCharType="begin"/>
      </w:r>
      <w:r w:rsidRPr="002452A0">
        <w:instrText xml:space="preserve"> REF _Ref110508349 \h  \* MERGEFORMAT </w:instrText>
      </w:r>
      <w:r w:rsidRPr="002452A0">
        <w:fldChar w:fldCharType="separate"/>
      </w:r>
      <w:r w:rsidR="0064000E" w:rsidRPr="002452A0">
        <w:t xml:space="preserve">Figure </w:t>
      </w:r>
      <w:r w:rsidR="0064000E">
        <w:rPr>
          <w:noProof/>
        </w:rPr>
        <w:t>8</w:t>
      </w:r>
      <w:r w:rsidRPr="002452A0">
        <w:fldChar w:fldCharType="end"/>
      </w:r>
      <w:r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 Small changes in the beam pattern may yield large differences in antenna gain in the </w:t>
      </w:r>
      <w:proofErr w:type="spellStart"/>
      <w:r w:rsidRPr="002452A0">
        <w:t>neighbourhood</w:t>
      </w:r>
      <w:proofErr w:type="spellEnd"/>
      <w:r w:rsidRPr="002452A0">
        <w:t xml:space="preserve"> of edges of the main beam and null</w:t>
      </w:r>
      <w:r>
        <w:t>s between the side lobes</w:t>
      </w:r>
      <w:r w:rsidRPr="002452A0">
        <w:t xml:space="preserve">.  </w:t>
      </w:r>
    </w:p>
    <w:p w14:paraId="52B78CC2" w14:textId="669FCA43" w:rsidR="00D26861" w:rsidRPr="002452A0" w:rsidRDefault="00D26861" w:rsidP="00FB4DAC">
      <w:pPr>
        <w:overflowPunct/>
        <w:autoSpaceDE/>
        <w:autoSpaceDN/>
        <w:adjustRightInd/>
        <w:spacing w:after="0"/>
        <w:jc w:val="center"/>
        <w:textAlignment w:val="center"/>
      </w:pPr>
      <w:r w:rsidRPr="002452A0">
        <w:rPr>
          <w:noProof/>
        </w:rPr>
        <w:drawing>
          <wp:inline distT="0" distB="0" distL="0" distR="0" wp14:anchorId="1B1F59BD" wp14:editId="1CC262A2">
            <wp:extent cx="2801897" cy="193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06A2F12" w14:textId="6E9A8531" w:rsidR="00D26861" w:rsidRPr="002452A0" w:rsidRDefault="00D26861" w:rsidP="0043198E">
      <w:pPr>
        <w:jc w:val="center"/>
      </w:pPr>
      <w:bookmarkStart w:id="31" w:name="_Ref110508349"/>
      <w:r w:rsidRPr="002452A0">
        <w:t xml:space="preserve">Figure </w:t>
      </w:r>
      <w:r w:rsidR="000A3D04">
        <w:fldChar w:fldCharType="begin"/>
      </w:r>
      <w:r w:rsidR="000A3D04">
        <w:instrText xml:space="preserve"> SEQ Figure \* ARABIC </w:instrText>
      </w:r>
      <w:r w:rsidR="000A3D04">
        <w:fldChar w:fldCharType="separate"/>
      </w:r>
      <w:r w:rsidR="0064000E">
        <w:rPr>
          <w:noProof/>
        </w:rPr>
        <w:t>8</w:t>
      </w:r>
      <w:r w:rsidR="000A3D04">
        <w:rPr>
          <w:noProof/>
        </w:rPr>
        <w:fldChar w:fldCharType="end"/>
      </w:r>
      <w:bookmarkEnd w:id="31"/>
      <w:r w:rsidRPr="002452A0">
        <w:t>: FR2 analog beam patterns influencing (forward/reverse) SRS-RSRP measurement.</w:t>
      </w:r>
    </w:p>
    <w:p w14:paraId="074FA70D" w14:textId="0B96714A" w:rsidR="00D26861" w:rsidRPr="002452A0" w:rsidRDefault="00D26861" w:rsidP="00B76831">
      <w:pPr>
        <w:overflowPunct/>
        <w:autoSpaceDE/>
        <w:autoSpaceDN/>
        <w:adjustRightInd/>
        <w:spacing w:after="120"/>
        <w:jc w:val="both"/>
        <w:textAlignment w:val="center"/>
        <w:rPr>
          <w:b/>
          <w:bCs/>
          <w:i/>
          <w:iCs/>
        </w:rPr>
      </w:pPr>
      <w:bookmarkStart w:id="32" w:name="_Ref11121074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64000E">
        <w:rPr>
          <w:b/>
          <w:bCs/>
          <w:i/>
          <w:iCs/>
          <w:noProof/>
        </w:rPr>
        <w:t>5</w:t>
      </w:r>
      <w:r w:rsidRPr="002452A0">
        <w:rPr>
          <w:b/>
          <w:bCs/>
          <w:i/>
          <w:iCs/>
        </w:rPr>
        <w:fldChar w:fldCharType="end"/>
      </w:r>
      <w:r w:rsidRPr="002452A0">
        <w:rPr>
          <w:b/>
          <w:bCs/>
          <w:i/>
          <w:iCs/>
        </w:rPr>
        <w:t xml:space="preserve">: </w:t>
      </w:r>
      <w:bookmarkStart w:id="33" w:name="_Ref118367790"/>
      <w:r w:rsidRPr="002452A0">
        <w:rPr>
          <w:b/>
          <w:bCs/>
          <w:i/>
          <w:iCs/>
        </w:rPr>
        <w:t>In FR2 reverse CLI-measurement scenario, measuring UE should be configured to use its Tx analog beam pattern (instead of Rx beam pattern).</w:t>
      </w:r>
      <w:bookmarkEnd w:id="32"/>
      <w:bookmarkEnd w:id="33"/>
    </w:p>
    <w:p w14:paraId="5C6DE043" w14:textId="435B2A4C" w:rsidR="009C1778" w:rsidRDefault="00D26861" w:rsidP="00B76831">
      <w:pPr>
        <w:overflowPunct/>
        <w:autoSpaceDE/>
        <w:autoSpaceDN/>
        <w:adjustRightInd/>
        <w:spacing w:after="120"/>
        <w:jc w:val="both"/>
        <w:textAlignment w:val="center"/>
        <w:rPr>
          <w:b/>
          <w:bCs/>
          <w:i/>
          <w:iCs/>
        </w:rPr>
      </w:pPr>
      <w:bookmarkStart w:id="34" w:name="_Ref11121091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8</w:t>
      </w:r>
      <w:r w:rsidRPr="002452A0">
        <w:rPr>
          <w:b/>
          <w:bCs/>
          <w:i/>
          <w:iCs/>
        </w:rPr>
        <w:fldChar w:fldCharType="end"/>
      </w:r>
      <w:r w:rsidRPr="002452A0">
        <w:rPr>
          <w:b/>
          <w:bCs/>
          <w:i/>
          <w:iCs/>
        </w:rPr>
        <w:t xml:space="preserve">: </w:t>
      </w:r>
      <w:bookmarkStart w:id="35" w:name="_Ref118368204"/>
      <w:r w:rsidRPr="002452A0">
        <w:rPr>
          <w:b/>
          <w:bCs/>
          <w:i/>
          <w:iCs/>
        </w:rPr>
        <w:t>SRS-RSRP measurement can be configured with QCL-</w:t>
      </w:r>
      <w:proofErr w:type="spellStart"/>
      <w:r w:rsidRPr="002452A0">
        <w:rPr>
          <w:b/>
          <w:bCs/>
          <w:i/>
          <w:iCs/>
        </w:rPr>
        <w:t>TypeD</w:t>
      </w:r>
      <w:proofErr w:type="spellEnd"/>
      <w:r w:rsidRPr="002452A0">
        <w:rPr>
          <w:b/>
          <w:bCs/>
          <w:i/>
          <w:iCs/>
        </w:rPr>
        <w:t xml:space="preserve"> (spatial relationship information).</w:t>
      </w:r>
      <w:bookmarkEnd w:id="34"/>
      <w:bookmarkEnd w:id="35"/>
    </w:p>
    <w:p w14:paraId="1FA9932F" w14:textId="6AC672D4" w:rsidR="009C1778" w:rsidRDefault="009C1778" w:rsidP="00B76831">
      <w:pPr>
        <w:pStyle w:val="Heading2"/>
        <w:jc w:val="both"/>
      </w:pPr>
      <w:r>
        <w:lastRenderedPageBreak/>
        <w:t xml:space="preserve">Optimized UE-to-UE CLI </w:t>
      </w:r>
      <w:r w:rsidR="00A95151">
        <w:t>m</w:t>
      </w:r>
      <w:r>
        <w:t>easurements</w:t>
      </w:r>
    </w:p>
    <w:p w14:paraId="4C928EAF" w14:textId="26FF3311" w:rsidR="00735947" w:rsidRDefault="002F3F83" w:rsidP="00B76831">
      <w:pPr>
        <w:jc w:val="both"/>
      </w:pPr>
      <w:r>
        <w:t xml:space="preserve">In R16 SRS-RSRP, a </w:t>
      </w:r>
      <w:r w:rsidR="00D06299">
        <w:t xml:space="preserve">victim </w:t>
      </w:r>
      <w:r>
        <w:t xml:space="preserve">UE is configured to perform measurement on SRS resources transmitted by an aggressor UE. For both the transmitting and measurement UEs, dedicated resources </w:t>
      </w:r>
      <w:r w:rsidR="00D06299">
        <w:t>are</w:t>
      </w:r>
      <w:r>
        <w:t xml:space="preserve"> configured </w:t>
      </w:r>
      <w:r w:rsidR="00D06299">
        <w:t>to enable</w:t>
      </w:r>
      <w:r>
        <w:t xml:space="preserve"> SRS-RSRP measurement</w:t>
      </w:r>
      <w:r w:rsidR="00D06299">
        <w:t>,</w:t>
      </w:r>
      <w:r>
        <w:t xml:space="preserve"> which incurs a high resource overhead. For</w:t>
      </w:r>
      <w:r>
        <w:rPr>
          <w:lang w:val="en-GB"/>
        </w:rPr>
        <w:t xml:space="preserve"> R16</w:t>
      </w:r>
      <w:r>
        <w:t xml:space="preserve"> CLI-RSSI measurement, on the other hand, the UE is configured to measure the average received power on specified time-frequency resources. </w:t>
      </w:r>
      <w:r w:rsidR="00735947">
        <w:t>In both cases, the UE cannot report the presence of UE-UE CLI unless there are resources available for CLI measurements.</w:t>
      </w:r>
      <w:r w:rsidR="004F42C3">
        <w:t xml:space="preserve"> Moreover, due to the dynamic scheduling of UEs, fast CLI measurements and reporting are required to effectively handle the impact of UE-UE CLI. Following the current specifications will require that more resources </w:t>
      </w:r>
      <w:proofErr w:type="gramStart"/>
      <w:r w:rsidR="004F42C3">
        <w:t>are</w:t>
      </w:r>
      <w:proofErr w:type="gramEnd"/>
      <w:r w:rsidR="004F42C3">
        <w:t xml:space="preserve"> configured for more frequent UE-UE CLI measurement and reporting, which will further increase the measurement resource overhead.   </w:t>
      </w:r>
    </w:p>
    <w:p w14:paraId="3BC3BA4E" w14:textId="20637B3F" w:rsidR="002F3F83" w:rsidRDefault="002F3F83" w:rsidP="00B76831">
      <w:pPr>
        <w:jc w:val="both"/>
      </w:pPr>
      <w:r>
        <w:t>In th</w:t>
      </w:r>
      <w:r w:rsidR="00DB29B5">
        <w:t>e</w:t>
      </w:r>
      <w:r>
        <w:t xml:space="preserve"> case</w:t>
      </w:r>
      <w:r w:rsidR="006A39C1">
        <w:t xml:space="preserve"> of CLI-RSSI</w:t>
      </w:r>
      <w:r>
        <w:t>, the UE measures interference from multiple sources and therefore cannot differentiate between different sources of interference and their respective interference levels.</w:t>
      </w:r>
      <w:r w:rsidR="00F935A9">
        <w:t xml:space="preserve"> For effective CLI handling by gNB, it will be beneficial to reduce CLI measurement </w:t>
      </w:r>
      <w:r w:rsidR="00DB29B5">
        <w:t xml:space="preserve">resource </w:t>
      </w:r>
      <w:r w:rsidR="00F935A9">
        <w:t xml:space="preserve">overhead while being able to differentiate between </w:t>
      </w:r>
      <w:r w:rsidR="00DB29B5">
        <w:t>different</w:t>
      </w:r>
      <w:r w:rsidR="00F935A9">
        <w:t xml:space="preserve"> aggressors. To address these iss</w:t>
      </w:r>
      <w:r w:rsidR="00DB29B5">
        <w:t>ues</w:t>
      </w:r>
      <w:r w:rsidR="00F935A9">
        <w:t>, we propose the following optimized CLI measurements schemes.</w:t>
      </w:r>
    </w:p>
    <w:p w14:paraId="1B7FC372" w14:textId="609E9B55" w:rsidR="00A4390B" w:rsidRDefault="00983F8D" w:rsidP="00B76831">
      <w:pPr>
        <w:overflowPunct/>
        <w:autoSpaceDE/>
        <w:autoSpaceDN/>
        <w:adjustRightInd/>
        <w:spacing w:after="120"/>
        <w:jc w:val="both"/>
        <w:textAlignment w:val="center"/>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6</w:t>
      </w:r>
      <w:r w:rsidRPr="00491E94">
        <w:rPr>
          <w:b/>
          <w:bCs/>
          <w:i/>
          <w:iCs/>
          <w:noProof/>
          <w:lang w:val="en-GB"/>
        </w:rPr>
        <w:fldChar w:fldCharType="end"/>
      </w:r>
      <w:r w:rsidRPr="00906A88">
        <w:rPr>
          <w:b/>
          <w:bCs/>
          <w:i/>
          <w:iCs/>
        </w:rPr>
        <w:t>:</w:t>
      </w:r>
      <w:r>
        <w:rPr>
          <w:b/>
          <w:bCs/>
          <w:i/>
          <w:iCs/>
        </w:rPr>
        <w:t xml:space="preserve"> </w:t>
      </w:r>
      <w:bookmarkStart w:id="36" w:name="_Ref127287210"/>
      <w:r w:rsidR="00A4390B" w:rsidRPr="005C1741">
        <w:rPr>
          <w:b/>
          <w:bCs/>
          <w:i/>
          <w:iCs/>
        </w:rPr>
        <w:t>Fast CLI measurements are required due to dynamic scheduling of UEs.</w:t>
      </w:r>
      <w:r w:rsidR="00A4390B">
        <w:rPr>
          <w:b/>
          <w:bCs/>
          <w:i/>
          <w:iCs/>
        </w:rPr>
        <w:t xml:space="preserve"> Configuring resources for such fast CLI measurements will increase measurement resource overhead</w:t>
      </w:r>
      <w:bookmarkEnd w:id="36"/>
      <w:r w:rsidR="00316ABD">
        <w:rPr>
          <w:b/>
          <w:bCs/>
          <w:i/>
          <w:iCs/>
        </w:rPr>
        <w:t>.</w:t>
      </w:r>
    </w:p>
    <w:p w14:paraId="519A1226" w14:textId="55D52810" w:rsidR="00983F8D" w:rsidRPr="003475C8" w:rsidRDefault="00983F8D" w:rsidP="00E717D2">
      <w:pPr>
        <w:overflowPunct/>
        <w:autoSpaceDE/>
        <w:autoSpaceDN/>
        <w:adjustRightInd/>
        <w:spacing w:after="120"/>
        <w:textAlignment w:val="cente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64000E">
        <w:rPr>
          <w:b/>
          <w:bCs/>
          <w:i/>
          <w:iCs/>
          <w:noProof/>
        </w:rPr>
        <w:t>7</w:t>
      </w:r>
      <w:r w:rsidRPr="002452A0">
        <w:rPr>
          <w:b/>
          <w:bCs/>
          <w:i/>
          <w:iCs/>
        </w:rPr>
        <w:fldChar w:fldCharType="end"/>
      </w:r>
      <w:r w:rsidRPr="002452A0">
        <w:rPr>
          <w:b/>
          <w:bCs/>
          <w:i/>
          <w:iCs/>
        </w:rPr>
        <w:t>:</w:t>
      </w:r>
      <w:r>
        <w:rPr>
          <w:b/>
          <w:bCs/>
          <w:i/>
          <w:iCs/>
        </w:rPr>
        <w:t xml:space="preserve"> </w:t>
      </w:r>
      <w:bookmarkStart w:id="37" w:name="_Ref127285769"/>
      <w:bookmarkStart w:id="38" w:name="_Ref127183488"/>
      <w:r w:rsidR="00E717D2">
        <w:rPr>
          <w:b/>
          <w:bCs/>
          <w:i/>
          <w:iCs/>
        </w:rPr>
        <w:t xml:space="preserve">Based on R16 CLI reporting, the </w:t>
      </w:r>
      <w:r>
        <w:rPr>
          <w:b/>
          <w:bCs/>
          <w:i/>
          <w:iCs/>
        </w:rPr>
        <w:t xml:space="preserve">UE </w:t>
      </w:r>
      <w:r w:rsidRPr="005C1741">
        <w:rPr>
          <w:b/>
          <w:bCs/>
          <w:i/>
          <w:iCs/>
        </w:rPr>
        <w:t xml:space="preserve">cannot report the presence of CLI unless </w:t>
      </w:r>
      <w:r w:rsidR="00E717D2">
        <w:rPr>
          <w:b/>
          <w:bCs/>
          <w:i/>
          <w:iCs/>
        </w:rPr>
        <w:t>the</w:t>
      </w:r>
      <w:r w:rsidRPr="005C1741">
        <w:rPr>
          <w:b/>
          <w:bCs/>
          <w:i/>
          <w:iCs/>
        </w:rPr>
        <w:t xml:space="preserve"> </w:t>
      </w:r>
      <w:r w:rsidR="00E717D2">
        <w:rPr>
          <w:b/>
          <w:bCs/>
          <w:i/>
          <w:iCs/>
        </w:rPr>
        <w:t>CLI</w:t>
      </w:r>
      <w:r w:rsidRPr="005C1741">
        <w:rPr>
          <w:b/>
          <w:bCs/>
          <w:i/>
          <w:iCs/>
        </w:rPr>
        <w:t xml:space="preserve"> measurement</w:t>
      </w:r>
      <w:bookmarkEnd w:id="37"/>
      <w:r w:rsidR="00E717D2">
        <w:rPr>
          <w:b/>
          <w:bCs/>
          <w:i/>
          <w:iCs/>
        </w:rPr>
        <w:t xml:space="preserve"> is configured by the network.</w:t>
      </w:r>
      <w:bookmarkEnd w:id="38"/>
    </w:p>
    <w:p w14:paraId="47802A1F" w14:textId="573E60A2" w:rsidR="009C1778" w:rsidRDefault="009C1778" w:rsidP="00B76831">
      <w:pPr>
        <w:pStyle w:val="Heading3"/>
        <w:jc w:val="both"/>
      </w:pPr>
      <w:r>
        <w:t xml:space="preserve">SRS-RSRP </w:t>
      </w:r>
      <w:r w:rsidR="00B7340A">
        <w:t>m</w:t>
      </w:r>
      <w:r>
        <w:t xml:space="preserve">easurement </w:t>
      </w:r>
      <w:r w:rsidR="00B7340A">
        <w:t>w</w:t>
      </w:r>
      <w:r>
        <w:t xml:space="preserve">ithin </w:t>
      </w:r>
      <w:r w:rsidR="00B7340A">
        <w:t>g</w:t>
      </w:r>
      <w:r>
        <w:t xml:space="preserve">uard </w:t>
      </w:r>
      <w:r w:rsidR="00B7340A">
        <w:t>b</w:t>
      </w:r>
      <w:r>
        <w:t>and</w:t>
      </w:r>
    </w:p>
    <w:p w14:paraId="2C315249" w14:textId="059E3283" w:rsidR="009A1046" w:rsidRDefault="009C1778" w:rsidP="00B76831">
      <w:pPr>
        <w:jc w:val="both"/>
      </w:pPr>
      <w:r>
        <w:t xml:space="preserve">In SBFD, </w:t>
      </w:r>
      <w:r w:rsidR="000334CC">
        <w:t xml:space="preserve">a slot </w:t>
      </w:r>
      <w:r w:rsidR="005E2B93">
        <w:t>can be</w:t>
      </w:r>
      <w:r w:rsidR="000334CC">
        <w:t xml:space="preserve"> partitioned into DL and UL subbands with guard bands (GB) </w:t>
      </w:r>
      <w:r w:rsidR="005E2B93">
        <w:t xml:space="preserve">between </w:t>
      </w:r>
      <w:r w:rsidR="000334CC">
        <w:t>them.</w:t>
      </w:r>
      <w:r w:rsidR="0021607E">
        <w:t xml:space="preserve"> The GB resources are not used for UL or DL transmissions, and these resources can be configured to be used for CLI measurements,</w:t>
      </w:r>
      <w:r w:rsidR="000334CC">
        <w:t xml:space="preserve"> </w:t>
      </w:r>
      <w:r w:rsidR="0021607E">
        <w:t>a</w:t>
      </w:r>
      <w:r w:rsidR="000334CC">
        <w:t xml:space="preserve">s shown in </w:t>
      </w:r>
      <w:r w:rsidR="000334CC">
        <w:fldChar w:fldCharType="begin"/>
      </w:r>
      <w:r w:rsidR="000334CC">
        <w:instrText xml:space="preserve"> REF _Ref127182946 \h </w:instrText>
      </w:r>
      <w:r w:rsidR="00B76831">
        <w:instrText xml:space="preserve"> \* MERGEFORMAT </w:instrText>
      </w:r>
      <w:r w:rsidR="000334CC">
        <w:fldChar w:fldCharType="separate"/>
      </w:r>
      <w:r w:rsidR="0064000E">
        <w:t xml:space="preserve">Figure </w:t>
      </w:r>
      <w:r w:rsidR="0064000E">
        <w:rPr>
          <w:noProof/>
        </w:rPr>
        <w:t>9</w:t>
      </w:r>
      <w:r w:rsidR="000334CC">
        <w:fldChar w:fldCharType="end"/>
      </w:r>
      <w:r w:rsidR="0021607E">
        <w:t>. This</w:t>
      </w:r>
      <w:r w:rsidR="000334CC">
        <w:t xml:space="preserve"> can reduce the resource overhead for SRS-RSRP measurements and make efficient use of GB resources. </w:t>
      </w:r>
      <w:r>
        <w:t xml:space="preserve">However, the existing SRS configuration </w:t>
      </w:r>
      <w:r w:rsidR="004D01E3">
        <w:t>is</w:t>
      </w:r>
      <w:r>
        <w:t xml:space="preserve"> not suitable for SRS-RSRP measurement within a GB. This is because up to 272 RBs can be configured for SRS-RSRP measurement, and the GB will not have such high number of RBs available. Therefore, </w:t>
      </w:r>
      <w:r w:rsidR="009A1046">
        <w:t xml:space="preserve">to enable SRS-RSRP measurement within a GB, new SRS configurations must be designed. </w:t>
      </w:r>
      <w:r w:rsidR="00764920">
        <w:t xml:space="preserve">For example, an integer number of RBs, </w:t>
      </w:r>
      <w:r w:rsidR="00764920" w:rsidRPr="00764920">
        <w:rPr>
          <w:lang w:val="en-GB"/>
        </w:rPr>
        <w:t>other than multiples of 4,</w:t>
      </w:r>
      <w:r w:rsidR="00764920">
        <w:t xml:space="preserve"> can be configured for SRS transmission</w:t>
      </w:r>
      <w:r w:rsidR="00F42E7D">
        <w:t xml:space="preserve"> or SRS-RSRP </w:t>
      </w:r>
      <w:r w:rsidR="00764920">
        <w:t xml:space="preserve">measurement within a GB. </w:t>
      </w:r>
      <w:r w:rsidR="004D01E3">
        <w:t>Also</w:t>
      </w:r>
      <w:r w:rsidR="00764920">
        <w:t>, the UE can be configured to perform SRS-RSRP measurement on multiple (up to 14) symbols</w:t>
      </w:r>
      <w:r w:rsidR="004D01E3">
        <w:t>, instead of the restriction of 1 symbol in the existing configuration</w:t>
      </w:r>
      <w:r w:rsidR="00764920">
        <w:t>.</w:t>
      </w:r>
      <w:r w:rsidR="004D01E3">
        <w:t xml:space="preserve"> </w:t>
      </w:r>
      <w:r w:rsidR="0096176C">
        <w:t xml:space="preserve">Since the GB has fewer number of RBs, allowing SRS-RSRP measurement over multiple symbols can improve measurement accuracy. Therefore, it is important to study optimized SRS configurations that can enable effective SRS-RSRP measurements within a GB. </w:t>
      </w:r>
      <w:r w:rsidR="00764920">
        <w:t xml:space="preserve"> </w:t>
      </w:r>
    </w:p>
    <w:p w14:paraId="316A3BB9" w14:textId="208EB877" w:rsidR="009C1778" w:rsidRDefault="009C1778" w:rsidP="00B76831">
      <w:pPr>
        <w:overflowPunct/>
        <w:autoSpaceDE/>
        <w:autoSpaceDN/>
        <w:adjustRightInd/>
        <w:spacing w:after="120"/>
        <w:jc w:val="both"/>
        <w:textAlignment w:val="center"/>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8</w:t>
      </w:r>
      <w:r w:rsidRPr="00491E94">
        <w:rPr>
          <w:b/>
          <w:bCs/>
          <w:i/>
          <w:iCs/>
          <w:noProof/>
          <w:lang w:val="en-GB"/>
        </w:rPr>
        <w:fldChar w:fldCharType="end"/>
      </w:r>
      <w:r w:rsidRPr="00906A88">
        <w:rPr>
          <w:b/>
          <w:bCs/>
          <w:i/>
          <w:iCs/>
        </w:rPr>
        <w:t>:</w:t>
      </w:r>
      <w:r>
        <w:rPr>
          <w:b/>
          <w:bCs/>
          <w:i/>
          <w:iCs/>
        </w:rPr>
        <w:t xml:space="preserve"> </w:t>
      </w:r>
      <w:bookmarkStart w:id="39" w:name="_Ref127183182"/>
      <w:r>
        <w:rPr>
          <w:b/>
          <w:bCs/>
          <w:i/>
          <w:iCs/>
        </w:rPr>
        <w:t>SRS-RSRP measurement within a GB can address resource overhead problem and make good use of available GB resources</w:t>
      </w:r>
      <w:bookmarkEnd w:id="39"/>
      <w:r w:rsidR="00316ABD">
        <w:rPr>
          <w:b/>
          <w:bCs/>
          <w:i/>
          <w:iCs/>
        </w:rPr>
        <w:t>.</w:t>
      </w:r>
    </w:p>
    <w:p w14:paraId="6A627EE2" w14:textId="7F31E863" w:rsidR="00F35D07" w:rsidRDefault="00F35D07" w:rsidP="00B76831">
      <w:pPr>
        <w:overflowPunct/>
        <w:autoSpaceDE/>
        <w:autoSpaceDN/>
        <w:adjustRightInd/>
        <w:spacing w:after="120"/>
        <w:jc w:val="both"/>
        <w:textAlignment w:val="center"/>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9</w:t>
      </w:r>
      <w:r w:rsidRPr="00491E94">
        <w:rPr>
          <w:b/>
          <w:bCs/>
          <w:i/>
          <w:iCs/>
          <w:noProof/>
          <w:lang w:val="en-GB"/>
        </w:rPr>
        <w:fldChar w:fldCharType="end"/>
      </w:r>
      <w:r w:rsidRPr="00906A88">
        <w:rPr>
          <w:b/>
          <w:bCs/>
          <w:i/>
          <w:iCs/>
        </w:rPr>
        <w:t>:</w:t>
      </w:r>
      <w:r>
        <w:rPr>
          <w:b/>
          <w:bCs/>
          <w:i/>
          <w:iCs/>
        </w:rPr>
        <w:t xml:space="preserve"> </w:t>
      </w:r>
      <w:bookmarkStart w:id="40" w:name="_Ref127285889"/>
      <w:r>
        <w:rPr>
          <w:b/>
          <w:bCs/>
          <w:i/>
          <w:iCs/>
        </w:rPr>
        <w:t xml:space="preserve">Efficient SRS-RSRP measurement within a GB requires redesigning of SRS configuration </w:t>
      </w:r>
      <w:r w:rsidR="00C06D0A">
        <w:rPr>
          <w:b/>
          <w:bCs/>
          <w:i/>
          <w:iCs/>
        </w:rPr>
        <w:t>to</w:t>
      </w:r>
      <w:r>
        <w:rPr>
          <w:b/>
          <w:bCs/>
          <w:i/>
          <w:iCs/>
        </w:rPr>
        <w:t xml:space="preserve"> fit GB size</w:t>
      </w:r>
      <w:bookmarkEnd w:id="40"/>
      <w:r w:rsidR="00316ABD">
        <w:rPr>
          <w:b/>
          <w:bCs/>
          <w:i/>
          <w:iCs/>
        </w:rPr>
        <w:t>.</w:t>
      </w:r>
    </w:p>
    <w:p w14:paraId="74791BD7" w14:textId="38742889" w:rsidR="009C1778" w:rsidRPr="009D1FF7" w:rsidRDefault="009C1778" w:rsidP="00B76831">
      <w:pPr>
        <w:overflowPunct/>
        <w:autoSpaceDE/>
        <w:autoSpaceDN/>
        <w:adjustRightInd/>
        <w:spacing w:after="120"/>
        <w:jc w:val="both"/>
        <w:textAlignment w:val="center"/>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9</w:t>
      </w:r>
      <w:r w:rsidRPr="002452A0">
        <w:rPr>
          <w:b/>
          <w:bCs/>
          <w:i/>
          <w:iCs/>
        </w:rPr>
        <w:fldChar w:fldCharType="end"/>
      </w:r>
      <w:r w:rsidRPr="002452A0">
        <w:rPr>
          <w:b/>
          <w:bCs/>
          <w:i/>
          <w:iCs/>
        </w:rPr>
        <w:t>:</w:t>
      </w:r>
      <w:r>
        <w:rPr>
          <w:b/>
          <w:bCs/>
          <w:i/>
          <w:iCs/>
        </w:rPr>
        <w:t xml:space="preserve"> </w:t>
      </w:r>
      <w:bookmarkStart w:id="41" w:name="_Ref127183601"/>
      <w:bookmarkStart w:id="42" w:name="_Ref127286310"/>
      <w:r>
        <w:rPr>
          <w:b/>
          <w:bCs/>
          <w:i/>
          <w:iCs/>
        </w:rPr>
        <w:t xml:space="preserve">Study </w:t>
      </w:r>
      <w:bookmarkEnd w:id="41"/>
      <w:r w:rsidR="00386F33">
        <w:rPr>
          <w:b/>
          <w:bCs/>
          <w:i/>
          <w:iCs/>
        </w:rPr>
        <w:t xml:space="preserve">optimized </w:t>
      </w:r>
      <w:r w:rsidR="00CB2EB2">
        <w:rPr>
          <w:b/>
          <w:bCs/>
          <w:i/>
          <w:iCs/>
        </w:rPr>
        <w:t>SRS configurations for CLI measurement within a GB</w:t>
      </w:r>
      <w:bookmarkEnd w:id="42"/>
      <w:r w:rsidR="00316ABD">
        <w:rPr>
          <w:b/>
          <w:bCs/>
          <w:i/>
          <w:iCs/>
        </w:rPr>
        <w:t>.</w:t>
      </w:r>
    </w:p>
    <w:p w14:paraId="652DFB65" w14:textId="77777777" w:rsidR="009C1778" w:rsidRDefault="009C1778" w:rsidP="00501927">
      <w:pPr>
        <w:spacing w:after="0"/>
        <w:jc w:val="center"/>
      </w:pPr>
      <w:r w:rsidRPr="00B43B23">
        <w:rPr>
          <w:noProof/>
        </w:rPr>
        <w:drawing>
          <wp:inline distT="0" distB="0" distL="0" distR="0" wp14:anchorId="075A516A" wp14:editId="2EF20B87">
            <wp:extent cx="3079699" cy="1402024"/>
            <wp:effectExtent l="0" t="0" r="0" b="0"/>
            <wp:docPr id="9" name="Picture 3" descr="A picture containing rectangle&#10;&#10;Description automatically generated">
              <a:extLst xmlns:a="http://schemas.openxmlformats.org/drawingml/2006/main">
                <a:ext uri="{FF2B5EF4-FFF2-40B4-BE49-F238E27FC236}">
                  <a16:creationId xmlns:a16="http://schemas.microsoft.com/office/drawing/2014/main" id="{1B1243D8-9BED-92C4-5EB7-393785DAF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descr="A picture containing rectangle&#10;&#10;Description automatically generated">
                      <a:extLst>
                        <a:ext uri="{FF2B5EF4-FFF2-40B4-BE49-F238E27FC236}">
                          <a16:creationId xmlns:a16="http://schemas.microsoft.com/office/drawing/2014/main" id="{1B1243D8-9BED-92C4-5EB7-393785DAF603}"/>
                        </a:ext>
                      </a:extLst>
                    </pic:cNvPr>
                    <pic:cNvPicPr>
                      <a:picLocks noChangeAspect="1"/>
                    </pic:cNvPicPr>
                  </pic:nvPicPr>
                  <pic:blipFill>
                    <a:blip r:embed="rId21"/>
                    <a:stretch>
                      <a:fillRect/>
                    </a:stretch>
                  </pic:blipFill>
                  <pic:spPr>
                    <a:xfrm>
                      <a:off x="0" y="0"/>
                      <a:ext cx="3103092" cy="1412673"/>
                    </a:xfrm>
                    <a:prstGeom prst="rect">
                      <a:avLst/>
                    </a:prstGeom>
                  </pic:spPr>
                </pic:pic>
              </a:graphicData>
            </a:graphic>
          </wp:inline>
        </w:drawing>
      </w:r>
    </w:p>
    <w:p w14:paraId="30123379" w14:textId="22607426" w:rsidR="009C1778" w:rsidRDefault="009C1778" w:rsidP="0043198E">
      <w:pPr>
        <w:jc w:val="center"/>
      </w:pPr>
      <w:bookmarkStart w:id="43" w:name="_Ref127182946"/>
      <w:r>
        <w:t xml:space="preserve">Figure </w:t>
      </w:r>
      <w:r w:rsidR="000A3D04">
        <w:fldChar w:fldCharType="begin"/>
      </w:r>
      <w:r w:rsidR="000A3D04">
        <w:instrText xml:space="preserve"> SEQ Figure \* ARABIC </w:instrText>
      </w:r>
      <w:r w:rsidR="000A3D04">
        <w:fldChar w:fldCharType="separate"/>
      </w:r>
      <w:r w:rsidR="0064000E">
        <w:rPr>
          <w:noProof/>
        </w:rPr>
        <w:t>9</w:t>
      </w:r>
      <w:r w:rsidR="000A3D04">
        <w:rPr>
          <w:noProof/>
        </w:rPr>
        <w:fldChar w:fldCharType="end"/>
      </w:r>
      <w:bookmarkEnd w:id="43"/>
      <w:r>
        <w:t>: SRS-RSRP measurement using GB resources</w:t>
      </w:r>
      <w:r w:rsidRPr="002452A0">
        <w:t>.</w:t>
      </w:r>
    </w:p>
    <w:p w14:paraId="454D845F" w14:textId="7DAC6E95" w:rsidR="009C1778" w:rsidRDefault="009C1778" w:rsidP="00B76831">
      <w:pPr>
        <w:pStyle w:val="Heading3"/>
        <w:jc w:val="both"/>
      </w:pPr>
      <w:r>
        <w:t xml:space="preserve">CLI </w:t>
      </w:r>
      <w:r w:rsidR="00A55585">
        <w:t>m</w:t>
      </w:r>
      <w:r>
        <w:t>easurement with</w:t>
      </w:r>
      <w:r w:rsidR="00814987">
        <w:t xml:space="preserve"> </w:t>
      </w:r>
      <w:r w:rsidR="00A55585">
        <w:t>f</w:t>
      </w:r>
      <w:r w:rsidR="00814987">
        <w:t xml:space="preserve">requency </w:t>
      </w:r>
      <w:r w:rsidR="00A55585">
        <w:t>d</w:t>
      </w:r>
      <w:r w:rsidR="00814987">
        <w:t xml:space="preserve">ifferentiation </w:t>
      </w:r>
    </w:p>
    <w:p w14:paraId="5AF27921" w14:textId="39DE5D90" w:rsidR="00B6689D" w:rsidRDefault="009E6257" w:rsidP="00B76831">
      <w:pPr>
        <w:jc w:val="both"/>
        <w:rPr>
          <w:lang w:val="en-GB"/>
        </w:rPr>
      </w:pPr>
      <w:r w:rsidRPr="00D64072">
        <w:rPr>
          <w:lang w:val="en-GB"/>
        </w:rPr>
        <w:t xml:space="preserve">Victim-aggressor pair knowledge is essential for CLI-aware </w:t>
      </w:r>
      <w:r w:rsidR="00A55585" w:rsidRPr="00D64072">
        <w:rPr>
          <w:lang w:val="en-GB"/>
        </w:rPr>
        <w:t>scheduler</w:t>
      </w:r>
      <w:r w:rsidR="00A55585">
        <w:rPr>
          <w:lang w:val="en-GB"/>
        </w:rPr>
        <w:t xml:space="preserve"> since</w:t>
      </w:r>
      <w:r w:rsidR="00D64072">
        <w:rPr>
          <w:lang w:val="en-GB"/>
        </w:rPr>
        <w:t xml:space="preserve"> it</w:t>
      </w:r>
      <w:r w:rsidRPr="00D64072">
        <w:rPr>
          <w:lang w:val="en-GB"/>
        </w:rPr>
        <w:t xml:space="preserve"> can</w:t>
      </w:r>
      <w:r w:rsidR="00D64072">
        <w:rPr>
          <w:lang w:val="en-GB"/>
        </w:rPr>
        <w:t xml:space="preserve"> be used to</w:t>
      </w:r>
      <w:r w:rsidRPr="00D64072">
        <w:rPr>
          <w:lang w:val="en-GB"/>
        </w:rPr>
        <w:t xml:space="preserve"> </w:t>
      </w:r>
      <w:r w:rsidR="00D64072" w:rsidRPr="00D64072">
        <w:rPr>
          <w:lang w:val="en-GB"/>
        </w:rPr>
        <w:t>mitigate</w:t>
      </w:r>
      <w:r w:rsidRPr="00D64072">
        <w:rPr>
          <w:lang w:val="en-GB"/>
        </w:rPr>
        <w:t xml:space="preserve"> CLI by</w:t>
      </w:r>
      <w:r w:rsidR="00D64072">
        <w:rPr>
          <w:lang w:val="en-GB"/>
        </w:rPr>
        <w:t xml:space="preserve"> scheduling UE</w:t>
      </w:r>
      <w:r w:rsidRPr="00D64072">
        <w:rPr>
          <w:lang w:val="en-GB"/>
        </w:rPr>
        <w:t xml:space="preserve"> pai</w:t>
      </w:r>
      <w:r w:rsidR="00D64072">
        <w:rPr>
          <w:lang w:val="en-GB"/>
        </w:rPr>
        <w:t xml:space="preserve">rs that </w:t>
      </w:r>
      <w:r w:rsidR="007570EC">
        <w:rPr>
          <w:lang w:val="en-GB"/>
        </w:rPr>
        <w:t>d</w:t>
      </w:r>
      <w:r w:rsidR="00D64072">
        <w:rPr>
          <w:lang w:val="en-GB"/>
        </w:rPr>
        <w:t>o not cause sever CLI to each other</w:t>
      </w:r>
      <w:r w:rsidRPr="00D64072">
        <w:rPr>
          <w:lang w:val="en-GB"/>
        </w:rPr>
        <w:t>.</w:t>
      </w:r>
      <w:r>
        <w:rPr>
          <w:lang w:val="en-GB"/>
        </w:rPr>
        <w:t xml:space="preserve"> </w:t>
      </w:r>
      <w:r w:rsidR="002A1D0E">
        <w:rPr>
          <w:lang w:val="en-GB"/>
        </w:rPr>
        <w:t>As</w:t>
      </w:r>
      <w:r>
        <w:rPr>
          <w:lang w:val="en-GB"/>
        </w:rPr>
        <w:t xml:space="preserve"> there are multiple UE transmissions in the UL subband of a given slot, the current CLI-RSSI measurement </w:t>
      </w:r>
      <w:proofErr w:type="gramStart"/>
      <w:r>
        <w:rPr>
          <w:lang w:val="en-GB"/>
        </w:rPr>
        <w:t>doesn’t</w:t>
      </w:r>
      <w:proofErr w:type="gramEnd"/>
      <w:r>
        <w:rPr>
          <w:lang w:val="en-GB"/>
        </w:rPr>
        <w:t xml:space="preserve"> provide information on which UE(s) are the high aggressor. To enable CLI measurement that helps in identifying the aggressor UE(s), frequency differential can be employed. </w:t>
      </w:r>
      <w:r w:rsidR="00B6689D">
        <w:rPr>
          <w:lang w:val="en-GB"/>
        </w:rPr>
        <w:t xml:space="preserve">One way to achieve frequency differentiation in CLI measurement is to configure victim UEs to perform measurements on groups of RBs within the UL-SB of SBFD partitioned slots/symbols. </w:t>
      </w:r>
      <w:r w:rsidR="001A32AD">
        <w:rPr>
          <w:lang w:val="en-GB"/>
        </w:rPr>
        <w:t xml:space="preserve">The UE can be configured to include RB group indexes in the measurement report, which will enable the gNB to identify the aggressor UE(s) as the UE(s) scheduled on the reported </w:t>
      </w:r>
      <w:r w:rsidR="001A32AD">
        <w:rPr>
          <w:lang w:val="en-GB"/>
        </w:rPr>
        <w:lastRenderedPageBreak/>
        <w:t xml:space="preserve">RBs. An example is shown in </w:t>
      </w:r>
      <w:r w:rsidR="001A32AD">
        <w:fldChar w:fldCharType="begin"/>
      </w:r>
      <w:r w:rsidR="001A32AD">
        <w:instrText xml:space="preserve"> REF _Ref127182911 \h </w:instrText>
      </w:r>
      <w:r w:rsidR="00B76831">
        <w:instrText xml:space="preserve"> \* MERGEFORMAT </w:instrText>
      </w:r>
      <w:r w:rsidR="001A32AD">
        <w:fldChar w:fldCharType="separate"/>
      </w:r>
      <w:r w:rsidR="0064000E">
        <w:t xml:space="preserve">Figure </w:t>
      </w:r>
      <w:r w:rsidR="0064000E">
        <w:rPr>
          <w:noProof/>
        </w:rPr>
        <w:t>10</w:t>
      </w:r>
      <w:r w:rsidR="001A32AD">
        <w:fldChar w:fldCharType="end"/>
      </w:r>
      <w:r w:rsidR="001A32AD">
        <w:t>, in which the victim</w:t>
      </w:r>
      <w:r w:rsidR="00840962">
        <w:t xml:space="preserve"> UE</w:t>
      </w:r>
      <w:r w:rsidR="001A32AD">
        <w:t xml:space="preserve"> will report high UE-UE CLI for RB Groups 1 and 2, and no UE-UE</w:t>
      </w:r>
      <w:r w:rsidR="00840962">
        <w:t xml:space="preserve"> CLI</w:t>
      </w:r>
      <w:r w:rsidR="001A32AD">
        <w:t xml:space="preserve"> for RB Group 3. However, the current specification does not support such frequency differentiation for CLI measurement.  Therefore, it is important to bring enhancement to CLI measurement configuration to allow frequency differentiation when UE-UE CLI measurement is performed on UL-SB.</w:t>
      </w:r>
    </w:p>
    <w:p w14:paraId="173B8AC1" w14:textId="77777777" w:rsidR="009C1778" w:rsidRDefault="009C1778" w:rsidP="00501927">
      <w:pPr>
        <w:spacing w:after="0"/>
        <w:jc w:val="center"/>
      </w:pPr>
      <w:r w:rsidRPr="00671FD9">
        <w:rPr>
          <w:noProof/>
        </w:rPr>
        <w:drawing>
          <wp:inline distT="0" distB="0" distL="0" distR="0" wp14:anchorId="16B1007A" wp14:editId="1F6C1845">
            <wp:extent cx="3565723" cy="1287475"/>
            <wp:effectExtent l="0" t="0" r="0" b="0"/>
            <wp:docPr id="10" name="Picture 3" descr="A picture containing logo&#10;&#10;Description automatically generated">
              <a:extLst xmlns:a="http://schemas.openxmlformats.org/drawingml/2006/main">
                <a:ext uri="{FF2B5EF4-FFF2-40B4-BE49-F238E27FC236}">
                  <a16:creationId xmlns:a16="http://schemas.microsoft.com/office/drawing/2014/main" id="{5DD40F4D-18F7-FAE1-BE39-5801C7369B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logo&#10;&#10;Description automatically generated">
                      <a:extLst>
                        <a:ext uri="{FF2B5EF4-FFF2-40B4-BE49-F238E27FC236}">
                          <a16:creationId xmlns:a16="http://schemas.microsoft.com/office/drawing/2014/main" id="{5DD40F4D-18F7-FAE1-BE39-5801C7369B73}"/>
                        </a:ext>
                      </a:extLst>
                    </pic:cNvPr>
                    <pic:cNvPicPr>
                      <a:picLocks noChangeAspect="1"/>
                    </pic:cNvPicPr>
                  </pic:nvPicPr>
                  <pic:blipFill>
                    <a:blip r:embed="rId22"/>
                    <a:stretch>
                      <a:fillRect/>
                    </a:stretch>
                  </pic:blipFill>
                  <pic:spPr>
                    <a:xfrm>
                      <a:off x="0" y="0"/>
                      <a:ext cx="3612978" cy="1304537"/>
                    </a:xfrm>
                    <a:prstGeom prst="rect">
                      <a:avLst/>
                    </a:prstGeom>
                  </pic:spPr>
                </pic:pic>
              </a:graphicData>
            </a:graphic>
          </wp:inline>
        </w:drawing>
      </w:r>
    </w:p>
    <w:p w14:paraId="6246BDD7" w14:textId="0E1A14E7" w:rsidR="009C1778" w:rsidRDefault="009C1778" w:rsidP="00D943D3">
      <w:pPr>
        <w:jc w:val="center"/>
      </w:pPr>
      <w:bookmarkStart w:id="44" w:name="_Ref127182911"/>
      <w:r>
        <w:t xml:space="preserve">Figure </w:t>
      </w:r>
      <w:r w:rsidR="000A3D04">
        <w:fldChar w:fldCharType="begin"/>
      </w:r>
      <w:r w:rsidR="000A3D04">
        <w:instrText xml:space="preserve"> SEQ Figure \* ARABIC </w:instrText>
      </w:r>
      <w:r w:rsidR="000A3D04">
        <w:fldChar w:fldCharType="separate"/>
      </w:r>
      <w:r w:rsidR="0064000E">
        <w:rPr>
          <w:noProof/>
        </w:rPr>
        <w:t>10</w:t>
      </w:r>
      <w:r w:rsidR="000A3D04">
        <w:rPr>
          <w:noProof/>
        </w:rPr>
        <w:fldChar w:fldCharType="end"/>
      </w:r>
      <w:bookmarkEnd w:id="44"/>
      <w:r>
        <w:t>: CL</w:t>
      </w:r>
      <w:r w:rsidR="00D943D3">
        <w:t>I</w:t>
      </w:r>
      <w:r>
        <w:t xml:space="preserve"> measurement </w:t>
      </w:r>
      <w:r w:rsidR="00240FA5">
        <w:t>on</w:t>
      </w:r>
      <w:r w:rsidR="00D943D3">
        <w:t xml:space="preserve"> UL subband with frequency differentiation</w:t>
      </w:r>
      <w:r w:rsidRPr="002452A0">
        <w:t>.</w:t>
      </w:r>
    </w:p>
    <w:p w14:paraId="17508C98" w14:textId="7EB00418" w:rsidR="005D17FB" w:rsidRDefault="009C1778"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10</w:t>
      </w:r>
      <w:r w:rsidRPr="00491E94">
        <w:rPr>
          <w:b/>
          <w:bCs/>
          <w:i/>
          <w:iCs/>
          <w:noProof/>
          <w:lang w:val="en-GB"/>
        </w:rPr>
        <w:fldChar w:fldCharType="end"/>
      </w:r>
      <w:r w:rsidRPr="00906A88">
        <w:rPr>
          <w:b/>
          <w:bCs/>
          <w:i/>
          <w:iCs/>
        </w:rPr>
        <w:t>:</w:t>
      </w:r>
      <w:r>
        <w:rPr>
          <w:b/>
          <w:bCs/>
          <w:i/>
          <w:iCs/>
        </w:rPr>
        <w:t xml:space="preserve"> </w:t>
      </w:r>
      <w:bookmarkStart w:id="45" w:name="_Ref127183199"/>
      <w:r w:rsidR="005D17FB">
        <w:rPr>
          <w:b/>
          <w:bCs/>
          <w:i/>
          <w:iCs/>
        </w:rPr>
        <w:t>Frequency differentiation for CLI measurement on UL-SB</w:t>
      </w:r>
      <w:r w:rsidR="00814987">
        <w:rPr>
          <w:b/>
          <w:bCs/>
          <w:i/>
          <w:iCs/>
        </w:rPr>
        <w:t xml:space="preserve"> can enable gNB to identify individual CLI aggressors</w:t>
      </w:r>
      <w:r w:rsidR="00D9535E">
        <w:rPr>
          <w:b/>
          <w:bCs/>
          <w:i/>
          <w:iCs/>
        </w:rPr>
        <w:t>.</w:t>
      </w:r>
    </w:p>
    <w:bookmarkEnd w:id="45"/>
    <w:p w14:paraId="2A4E79F6" w14:textId="03C090EA" w:rsidR="009C1778" w:rsidRPr="002452A0" w:rsidRDefault="009C1778" w:rsidP="00B76831">
      <w:pPr>
        <w:overflowPunct/>
        <w:autoSpaceDE/>
        <w:autoSpaceDN/>
        <w:adjustRightInd/>
        <w:spacing w:after="120"/>
        <w:jc w:val="both"/>
        <w:textAlignment w:val="center"/>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10</w:t>
      </w:r>
      <w:r w:rsidRPr="002452A0">
        <w:rPr>
          <w:b/>
          <w:bCs/>
          <w:i/>
          <w:iCs/>
        </w:rPr>
        <w:fldChar w:fldCharType="end"/>
      </w:r>
      <w:r w:rsidRPr="002452A0">
        <w:rPr>
          <w:b/>
          <w:bCs/>
          <w:i/>
          <w:iCs/>
        </w:rPr>
        <w:t>:</w:t>
      </w:r>
      <w:r>
        <w:rPr>
          <w:b/>
          <w:bCs/>
          <w:i/>
          <w:iCs/>
        </w:rPr>
        <w:t xml:space="preserve"> </w:t>
      </w:r>
      <w:bookmarkStart w:id="46" w:name="_Ref127183632"/>
      <w:bookmarkStart w:id="47" w:name="_Ref127286325"/>
      <w:r>
        <w:rPr>
          <w:b/>
          <w:bCs/>
          <w:i/>
          <w:iCs/>
        </w:rPr>
        <w:t xml:space="preserve">Study </w:t>
      </w:r>
      <w:bookmarkEnd w:id="46"/>
      <w:r w:rsidR="00814987">
        <w:rPr>
          <w:b/>
          <w:bCs/>
          <w:i/>
          <w:iCs/>
        </w:rPr>
        <w:t>CLI measurement on UL-SB with frequency differentiation</w:t>
      </w:r>
      <w:bookmarkEnd w:id="47"/>
      <w:r w:rsidR="00814987">
        <w:rPr>
          <w:b/>
          <w:bCs/>
          <w:i/>
          <w:iCs/>
        </w:rPr>
        <w:t xml:space="preserve"> </w:t>
      </w:r>
    </w:p>
    <w:p w14:paraId="2420DC6C" w14:textId="6F352CD2" w:rsidR="00ED1D53" w:rsidRDefault="00ED1D53" w:rsidP="00B76831">
      <w:pPr>
        <w:pStyle w:val="Heading3"/>
        <w:jc w:val="both"/>
      </w:pPr>
      <w:r>
        <w:t xml:space="preserve">Autonomous UE-UE CLI Detection </w:t>
      </w:r>
    </w:p>
    <w:p w14:paraId="687B9B73" w14:textId="77777777" w:rsidR="00C55704" w:rsidRDefault="00693A18" w:rsidP="00B76831">
      <w:pPr>
        <w:jc w:val="both"/>
      </w:pPr>
      <w:r>
        <w:t>A</w:t>
      </w:r>
      <w:r w:rsidR="0013720F">
        <w:t xml:space="preserve">nother approach to reduce CLI measurement resource overhead and enable faster UE-to-UE </w:t>
      </w:r>
      <w:r w:rsidR="006961E9">
        <w:t xml:space="preserve">CLI </w:t>
      </w:r>
      <w:r w:rsidR="0013720F">
        <w:t>reporting is</w:t>
      </w:r>
      <w:r w:rsidR="00A01104">
        <w:t xml:space="preserve"> for</w:t>
      </w:r>
      <w:r w:rsidR="0013720F">
        <w:t xml:space="preserve"> UE to detect CLI autonomously, i.e., UE can detect and report the presence of CLI without any dedicated resource configuration for CLI measurement.</w:t>
      </w:r>
      <w:r w:rsidR="003145BE">
        <w:t xml:space="preserve"> This can increase system capacity by enabling resources to be configured for data transmission instead of CLI measurement.</w:t>
      </w:r>
      <w:r w:rsidR="0013720F">
        <w:t xml:space="preserve"> </w:t>
      </w:r>
      <w:r w:rsidR="00C91B5A">
        <w:t xml:space="preserve">Autonomous UE-UE CLI detection can be achieved in two ways. First, the UE can detect CLI without the need/configuration of resource for CLI measurement. In this case, the UE relies on its capability to identify the presence of high interference while receiving any reference signal or channel. Second, the UE can perform CLI measurements using existing reference signals (e.g., DMRS for PDSCH/PDCCH) as CLI measurement resource. </w:t>
      </w:r>
    </w:p>
    <w:p w14:paraId="398DAAB4" w14:textId="556D9861" w:rsidR="002F12E9" w:rsidRDefault="00E2451D" w:rsidP="00B76831">
      <w:pPr>
        <w:jc w:val="both"/>
      </w:pPr>
      <w:r>
        <w:t>In both cases,</w:t>
      </w:r>
      <w:r w:rsidR="002F12E9">
        <w:t xml:space="preserve"> a new reporting framework can be configured for the reporting of autonomous detected CLI, which may include an indication of the detected CLI level, the resources on which CLI was detected, the number of reports and the interval between</w:t>
      </w:r>
      <w:r>
        <w:t xml:space="preserve"> </w:t>
      </w:r>
      <w:r w:rsidR="002F12E9">
        <w:t xml:space="preserve">reports. The UE can be configured to trigger a UE-UE CLI report when an entry condition </w:t>
      </w:r>
      <w:r w:rsidR="005856EA">
        <w:t>for</w:t>
      </w:r>
      <w:r w:rsidR="002F12E9">
        <w:t xml:space="preserve"> CLI reporting is satisfied, and to stop reporting when a leaving condition </w:t>
      </w:r>
      <w:r w:rsidR="005856EA">
        <w:t xml:space="preserve">for CLI reporting </w:t>
      </w:r>
      <w:r w:rsidR="002F12E9">
        <w:t>is satisfied. The current specification does not allow such autonomous detection and reporting of UE-UE CLI. It is therefore important to study such an approach since it can reduce measurement resource overhead</w:t>
      </w:r>
      <w:r w:rsidR="005856EA">
        <w:t xml:space="preserve"> while</w:t>
      </w:r>
      <w:r w:rsidR="002F12E9">
        <w:t xml:space="preserve"> </w:t>
      </w:r>
      <w:r w:rsidR="00B44571">
        <w:t>enabl</w:t>
      </w:r>
      <w:r w:rsidR="005856EA">
        <w:t>ing</w:t>
      </w:r>
      <w:r w:rsidR="00B44571">
        <w:t xml:space="preserve"> more frequent UE-UE CLI reporting. </w:t>
      </w:r>
    </w:p>
    <w:p w14:paraId="01B10F2B" w14:textId="19A553D9" w:rsidR="00855DD8" w:rsidRDefault="00855DD8"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64000E">
        <w:rPr>
          <w:b/>
          <w:bCs/>
          <w:i/>
          <w:iCs/>
          <w:noProof/>
          <w:lang w:val="en-GB"/>
        </w:rPr>
        <w:t>11</w:t>
      </w:r>
      <w:r w:rsidRPr="00491E94">
        <w:rPr>
          <w:b/>
          <w:bCs/>
          <w:i/>
          <w:iCs/>
          <w:noProof/>
          <w:lang w:val="en-GB"/>
        </w:rPr>
        <w:fldChar w:fldCharType="end"/>
      </w:r>
      <w:r w:rsidRPr="00906A88">
        <w:rPr>
          <w:b/>
          <w:bCs/>
          <w:i/>
          <w:iCs/>
        </w:rPr>
        <w:t>:</w:t>
      </w:r>
      <w:r>
        <w:rPr>
          <w:b/>
          <w:bCs/>
          <w:i/>
          <w:iCs/>
        </w:rPr>
        <w:t xml:space="preserve"> </w:t>
      </w:r>
      <w:bookmarkStart w:id="48" w:name="_Ref127285906"/>
      <w:r>
        <w:rPr>
          <w:b/>
          <w:bCs/>
          <w:i/>
          <w:iCs/>
        </w:rPr>
        <w:t>Autonomous UE-UE CLI detection can reduce measurement resource overhead and enable faster CLI reporting</w:t>
      </w:r>
      <w:bookmarkEnd w:id="48"/>
      <w:r w:rsidR="0074485D">
        <w:rPr>
          <w:b/>
          <w:bCs/>
          <w:i/>
          <w:iCs/>
        </w:rPr>
        <w:t>.</w:t>
      </w:r>
    </w:p>
    <w:p w14:paraId="7C4147BC" w14:textId="75A813C1" w:rsidR="00E91030" w:rsidRPr="002347C7" w:rsidRDefault="00693A18" w:rsidP="00B76831">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11</w:t>
      </w:r>
      <w:r w:rsidRPr="002452A0">
        <w:rPr>
          <w:b/>
          <w:bCs/>
          <w:i/>
          <w:iCs/>
        </w:rPr>
        <w:fldChar w:fldCharType="end"/>
      </w:r>
      <w:r w:rsidRPr="002452A0">
        <w:rPr>
          <w:b/>
          <w:bCs/>
          <w:i/>
          <w:iCs/>
        </w:rPr>
        <w:t>:</w:t>
      </w:r>
      <w:r>
        <w:rPr>
          <w:b/>
          <w:bCs/>
          <w:i/>
          <w:iCs/>
        </w:rPr>
        <w:t xml:space="preserve"> </w:t>
      </w:r>
      <w:bookmarkStart w:id="49" w:name="_Ref127183693"/>
      <w:r w:rsidR="00372DE4">
        <w:rPr>
          <w:b/>
          <w:bCs/>
          <w:i/>
          <w:iCs/>
        </w:rPr>
        <w:t>Allow</w:t>
      </w:r>
      <w:r>
        <w:rPr>
          <w:b/>
          <w:bCs/>
          <w:i/>
          <w:iCs/>
        </w:rPr>
        <w:t xml:space="preserve"> autonomous</w:t>
      </w:r>
      <w:r w:rsidR="00CA5B8F">
        <w:rPr>
          <w:b/>
          <w:bCs/>
          <w:i/>
          <w:iCs/>
        </w:rPr>
        <w:t xml:space="preserve"> UE-UE</w:t>
      </w:r>
      <w:r>
        <w:rPr>
          <w:b/>
          <w:bCs/>
          <w:i/>
          <w:iCs/>
        </w:rPr>
        <w:t xml:space="preserve"> CLI </w:t>
      </w:r>
      <w:r w:rsidR="00106F73">
        <w:rPr>
          <w:b/>
          <w:bCs/>
          <w:i/>
          <w:iCs/>
        </w:rPr>
        <w:t>detection and</w:t>
      </w:r>
      <w:r>
        <w:rPr>
          <w:b/>
          <w:bCs/>
          <w:i/>
          <w:iCs/>
        </w:rPr>
        <w:t xml:space="preserve"> </w:t>
      </w:r>
      <w:r w:rsidR="00372DE4">
        <w:rPr>
          <w:b/>
          <w:bCs/>
          <w:i/>
          <w:iCs/>
        </w:rPr>
        <w:t xml:space="preserve">study the details of </w:t>
      </w:r>
      <w:r>
        <w:rPr>
          <w:b/>
          <w:bCs/>
          <w:i/>
          <w:iCs/>
        </w:rPr>
        <w:t>a corresponding</w:t>
      </w:r>
      <w:r w:rsidR="00106F73">
        <w:rPr>
          <w:b/>
          <w:bCs/>
          <w:i/>
          <w:iCs/>
        </w:rPr>
        <w:t xml:space="preserve"> CLI</w:t>
      </w:r>
      <w:r w:rsidR="00855DD8">
        <w:rPr>
          <w:b/>
          <w:bCs/>
          <w:i/>
          <w:iCs/>
        </w:rPr>
        <w:t xml:space="preserve"> reporting</w:t>
      </w:r>
      <w:r>
        <w:rPr>
          <w:b/>
          <w:bCs/>
          <w:i/>
          <w:iCs/>
        </w:rPr>
        <w:t xml:space="preserve"> framework.</w:t>
      </w:r>
      <w:bookmarkEnd w:id="49"/>
    </w:p>
    <w:bookmarkEnd w:id="10"/>
    <w:bookmarkEnd w:id="11"/>
    <w:p w14:paraId="01377ACA" w14:textId="36EB92E4" w:rsidR="003F3EBF" w:rsidRPr="001B1D5E" w:rsidRDefault="003F3EBF" w:rsidP="00B76831">
      <w:pPr>
        <w:pStyle w:val="Heading1"/>
        <w:jc w:val="both"/>
        <w:rPr>
          <w:lang w:eastAsia="zh-CN"/>
        </w:rPr>
      </w:pPr>
      <w:r w:rsidRPr="001B1D5E">
        <w:rPr>
          <w:lang w:eastAsia="zh-CN"/>
        </w:rPr>
        <w:t>Conclusions</w:t>
      </w:r>
    </w:p>
    <w:p w14:paraId="40F6E2FE" w14:textId="1B2D0399" w:rsidR="00E22596" w:rsidRDefault="007C636C" w:rsidP="00B76831">
      <w:pPr>
        <w:jc w:val="both"/>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28EFD20F" w14:textId="2328AA8F" w:rsidR="00C05953" w:rsidRDefault="00C05953" w:rsidP="00FB4DAC">
      <w:pPr>
        <w:spacing w:after="60"/>
        <w:jc w:val="both"/>
        <w:rPr>
          <w:b/>
          <w:bCs/>
          <w:i/>
          <w:iCs/>
          <w:lang w:val="en-GB"/>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64000E">
        <w:rPr>
          <w:b/>
          <w:bCs/>
          <w:i/>
          <w:iCs/>
          <w:noProof/>
        </w:rPr>
        <w:t>1</w:t>
      </w:r>
      <w:r w:rsidRPr="002452A0">
        <w:rPr>
          <w:b/>
          <w:bCs/>
          <w:i/>
          <w:iCs/>
        </w:rPr>
        <w:fldChar w:fldCharType="end"/>
      </w:r>
      <w:r w:rsidRPr="002452A0">
        <w:rPr>
          <w:rFonts w:cstheme="minorHAnsi"/>
          <w:b/>
          <w:bCs/>
          <w:i/>
          <w:iCs/>
        </w:rPr>
        <w:t>:</w:t>
      </w:r>
      <w:r>
        <w:rPr>
          <w:rFonts w:cstheme="minorHAnsi"/>
          <w:b/>
          <w:bCs/>
          <w:i/>
          <w:iCs/>
        </w:rPr>
        <w:t xml:space="preserve"> </w:t>
      </w:r>
      <w:r w:rsidR="00395002" w:rsidRPr="00014FBC">
        <w:rPr>
          <w:b/>
          <w:i/>
          <w:iCs/>
          <w:lang w:val="en-GB"/>
        </w:rPr>
        <w:fldChar w:fldCharType="begin"/>
      </w:r>
      <w:r w:rsidR="00395002" w:rsidRPr="00014FBC">
        <w:rPr>
          <w:b/>
          <w:i/>
          <w:iCs/>
          <w:lang w:val="en-GB"/>
        </w:rPr>
        <w:instrText xml:space="preserve"> REF _Ref118367671 \h  \* MERGEFORMAT </w:instrText>
      </w:r>
      <w:r w:rsidR="00395002" w:rsidRPr="00014FBC">
        <w:rPr>
          <w:b/>
          <w:i/>
          <w:iCs/>
          <w:lang w:val="en-GB"/>
        </w:rPr>
      </w:r>
      <w:r w:rsidR="00395002" w:rsidRPr="00014FBC">
        <w:rPr>
          <w:b/>
          <w:i/>
          <w:iCs/>
          <w:lang w:val="en-GB"/>
        </w:rPr>
        <w:fldChar w:fldCharType="separate"/>
      </w:r>
      <w:r w:rsidR="0064000E" w:rsidRPr="0064000E">
        <w:rPr>
          <w:b/>
          <w:i/>
          <w:iCs/>
          <w:lang w:val="en-GB"/>
        </w:rPr>
        <w:t>Applying UL power boosting across all UL slots will cause power wastage on non-CLI slots.</w:t>
      </w:r>
      <w:r w:rsidR="00395002" w:rsidRPr="00014FBC">
        <w:rPr>
          <w:b/>
          <w:i/>
          <w:iCs/>
          <w:lang w:val="en-GB"/>
        </w:rPr>
        <w:fldChar w:fldCharType="end"/>
      </w:r>
    </w:p>
    <w:p w14:paraId="7109C996" w14:textId="2F03E595" w:rsidR="00DA57A4" w:rsidRDefault="00DA57A4" w:rsidP="00FB4DAC">
      <w:pPr>
        <w:spacing w:after="60"/>
        <w:jc w:val="both"/>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2</w:t>
      </w:r>
      <w:r w:rsidRPr="002452A0">
        <w:fldChar w:fldCharType="end"/>
      </w:r>
      <w:r w:rsidRPr="00DB7B12">
        <w:rPr>
          <w:i/>
          <w:iCs/>
          <w:lang w:val="en-GB"/>
        </w:rPr>
        <w:t>:</w:t>
      </w:r>
      <w:r w:rsidRPr="00E51573">
        <w:rPr>
          <w:b/>
          <w:bCs/>
          <w:i/>
          <w:iCs/>
          <w:lang w:val="en-GB"/>
        </w:rPr>
        <w:t xml:space="preserve"> </w:t>
      </w:r>
      <w:r w:rsidR="000660B8">
        <w:rPr>
          <w:b/>
          <w:bCs/>
          <w:i/>
          <w:iCs/>
          <w:lang w:val="en-GB"/>
        </w:rPr>
        <w:fldChar w:fldCharType="begin"/>
      </w:r>
      <w:r w:rsidR="000660B8">
        <w:rPr>
          <w:b/>
          <w:bCs/>
          <w:i/>
          <w:iCs/>
          <w:lang w:val="en-GB"/>
        </w:rPr>
        <w:instrText xml:space="preserve"> REF _Ref118367706 \h </w:instrText>
      </w:r>
      <w:r w:rsidR="00B76831">
        <w:rPr>
          <w:b/>
          <w:bCs/>
          <w:i/>
          <w:iCs/>
          <w:lang w:val="en-GB"/>
        </w:rPr>
        <w:instrText xml:space="preserve"> \* MERGEFORMAT </w:instrText>
      </w:r>
      <w:r w:rsidR="000660B8">
        <w:rPr>
          <w:b/>
          <w:bCs/>
          <w:i/>
          <w:iCs/>
          <w:lang w:val="en-GB"/>
        </w:rPr>
      </w:r>
      <w:r w:rsidR="000660B8">
        <w:rPr>
          <w:b/>
          <w:bCs/>
          <w:i/>
          <w:iCs/>
          <w:lang w:val="en-GB"/>
        </w:rPr>
        <w:fldChar w:fldCharType="separate"/>
      </w:r>
      <w:r w:rsidR="0064000E" w:rsidRPr="00E51573">
        <w:rPr>
          <w:b/>
          <w:bCs/>
          <w:i/>
          <w:iCs/>
          <w:lang w:val="en-GB"/>
        </w:rPr>
        <w:t>Enabling</w:t>
      </w:r>
      <w:r w:rsidR="0064000E">
        <w:rPr>
          <w:i/>
          <w:iCs/>
          <w:lang w:val="en-GB"/>
        </w:rPr>
        <w:t xml:space="preserve"> </w:t>
      </w:r>
      <w:r w:rsidR="0064000E">
        <w:rPr>
          <w:b/>
          <w:bCs/>
          <w:i/>
          <w:iCs/>
        </w:rPr>
        <w:t>UL power boosting on CLI slots can significantly improve UL SINR and UL UPT in the presence of gNB-gNB CLI</w:t>
      </w:r>
      <w:r w:rsidR="000660B8">
        <w:rPr>
          <w:b/>
          <w:bCs/>
          <w:i/>
          <w:iCs/>
          <w:lang w:val="en-GB"/>
        </w:rPr>
        <w:fldChar w:fldCharType="end"/>
      </w:r>
      <w:r>
        <w:rPr>
          <w:b/>
          <w:bCs/>
          <w:i/>
          <w:iCs/>
        </w:rPr>
        <w:t>.</w:t>
      </w:r>
    </w:p>
    <w:p w14:paraId="1F3F1920" w14:textId="74D266DF" w:rsidR="009537BB" w:rsidRDefault="009537BB" w:rsidP="00FB4DAC">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3</w:t>
      </w:r>
      <w:r w:rsidRPr="002452A0">
        <w:fldChar w:fldCharType="end"/>
      </w:r>
      <w:r w:rsidRPr="00DB7B12">
        <w:rPr>
          <w:i/>
          <w:iCs/>
          <w:lang w:val="en-GB"/>
        </w:rPr>
        <w:t>:</w:t>
      </w:r>
      <w:r>
        <w:rPr>
          <w:i/>
          <w:iCs/>
          <w:lang w:val="en-GB"/>
        </w:rPr>
        <w:t xml:space="preserve"> </w:t>
      </w:r>
      <w:r>
        <w:rPr>
          <w:b/>
          <w:bCs/>
          <w:i/>
          <w:iCs/>
        </w:rPr>
        <w:fldChar w:fldCharType="begin"/>
      </w:r>
      <w:r>
        <w:rPr>
          <w:i/>
          <w:iCs/>
          <w:lang w:val="en-GB"/>
        </w:rPr>
        <w:instrText xml:space="preserve"> REF _Ref118367732 \h </w:instrText>
      </w:r>
      <w:r w:rsidR="00B76831">
        <w:rPr>
          <w:b/>
          <w:bCs/>
          <w:i/>
          <w:iCs/>
        </w:rPr>
        <w:instrText xml:space="preserve"> \* MERGEFORMAT </w:instrText>
      </w:r>
      <w:r>
        <w:rPr>
          <w:b/>
          <w:bCs/>
          <w:i/>
          <w:iCs/>
        </w:rPr>
      </w:r>
      <w:r>
        <w:rPr>
          <w:b/>
          <w:bCs/>
          <w:i/>
          <w:iCs/>
        </w:rPr>
        <w:fldChar w:fldCharType="separate"/>
      </w:r>
      <w:r w:rsidR="0064000E" w:rsidRPr="002452A0">
        <w:rPr>
          <w:b/>
          <w:bCs/>
          <w:i/>
          <w:iCs/>
        </w:rPr>
        <w:t>UE-UE CLI-prediction based on measurement in reverse Tx-Rx direction is useful to protect legacy UEs not supporting such measurements.</w:t>
      </w:r>
      <w:r>
        <w:rPr>
          <w:b/>
          <w:bCs/>
          <w:i/>
          <w:iCs/>
        </w:rPr>
        <w:fldChar w:fldCharType="end"/>
      </w:r>
    </w:p>
    <w:p w14:paraId="54486240" w14:textId="6FC0DE37" w:rsidR="009537BB" w:rsidRPr="002452A0" w:rsidRDefault="009537BB" w:rsidP="00FB4DAC">
      <w:pPr>
        <w:overflowPunct/>
        <w:autoSpaceDE/>
        <w:autoSpaceDN/>
        <w:adjustRightInd/>
        <w:spacing w:after="6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4</w:t>
      </w:r>
      <w:r w:rsidRPr="002452A0">
        <w:fldChar w:fldCharType="end"/>
      </w:r>
      <w:r>
        <w:t xml:space="preserve">: </w:t>
      </w:r>
      <w:r>
        <w:rPr>
          <w:b/>
          <w:bCs/>
          <w:i/>
          <w:iCs/>
        </w:rPr>
        <w:fldChar w:fldCharType="begin"/>
      </w:r>
      <w:r>
        <w:rPr>
          <w:i/>
          <w:iCs/>
          <w:lang w:val="en-GB"/>
        </w:rPr>
        <w:instrText xml:space="preserve"> REF _Ref118367766 \h </w:instrText>
      </w:r>
      <w:r w:rsidR="00B76831">
        <w:rPr>
          <w:b/>
          <w:bCs/>
          <w:i/>
          <w:iCs/>
        </w:rPr>
        <w:instrText xml:space="preserve"> \* MERGEFORMAT </w:instrText>
      </w:r>
      <w:r>
        <w:rPr>
          <w:b/>
          <w:bCs/>
          <w:i/>
          <w:iCs/>
        </w:rPr>
      </w:r>
      <w:r>
        <w:rPr>
          <w:b/>
          <w:bCs/>
          <w:i/>
          <w:iCs/>
        </w:rPr>
        <w:fldChar w:fldCharType="separate"/>
      </w:r>
      <w:r w:rsidR="0064000E" w:rsidRPr="002452A0">
        <w:rPr>
          <w:b/>
          <w:bCs/>
          <w:i/>
          <w:iCs/>
        </w:rPr>
        <w:t>SRS-RSRP measurement has the following limitations when used for reverse CLI-prediction:</w:t>
      </w:r>
      <w:r>
        <w:rPr>
          <w:b/>
          <w:bCs/>
          <w:i/>
          <w:iCs/>
        </w:rPr>
        <w:fldChar w:fldCharType="end"/>
      </w:r>
    </w:p>
    <w:p w14:paraId="77EE131A" w14:textId="77777777" w:rsidR="009537BB" w:rsidRPr="002452A0" w:rsidRDefault="009537BB" w:rsidP="00FB4DAC">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035FD532" w14:textId="77777777" w:rsidR="009537BB" w:rsidRPr="002452A0" w:rsidRDefault="009537BB" w:rsidP="00FB4DAC">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4DAE6ADA" w14:textId="258C6FCE" w:rsidR="009537BB" w:rsidRDefault="009537BB" w:rsidP="00FB4DAC">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5</w:t>
      </w:r>
      <w:r w:rsidRPr="002452A0">
        <w:fldChar w:fldCharType="end"/>
      </w:r>
      <w:r>
        <w:t xml:space="preserve">: </w:t>
      </w:r>
      <w:r>
        <w:rPr>
          <w:b/>
          <w:bCs/>
          <w:i/>
          <w:iCs/>
        </w:rPr>
        <w:fldChar w:fldCharType="begin"/>
      </w:r>
      <w:r>
        <w:rPr>
          <w:i/>
          <w:iCs/>
          <w:lang w:val="en-GB"/>
        </w:rPr>
        <w:instrText xml:space="preserve"> REF _Ref118367790 \h </w:instrText>
      </w:r>
      <w:r w:rsidR="00B76831">
        <w:rPr>
          <w:b/>
          <w:bCs/>
          <w:i/>
          <w:iCs/>
        </w:rPr>
        <w:instrText xml:space="preserve"> \* MERGEFORMAT </w:instrText>
      </w:r>
      <w:r>
        <w:rPr>
          <w:b/>
          <w:bCs/>
          <w:i/>
          <w:iCs/>
        </w:rPr>
      </w:r>
      <w:r>
        <w:rPr>
          <w:b/>
          <w:bCs/>
          <w:i/>
          <w:iCs/>
        </w:rPr>
        <w:fldChar w:fldCharType="separate"/>
      </w:r>
      <w:r w:rsidR="0064000E" w:rsidRPr="002452A0">
        <w:rPr>
          <w:b/>
          <w:bCs/>
          <w:i/>
          <w:iCs/>
        </w:rPr>
        <w:t>In FR2 reverse CLI-measurement scenario, measuring UE should be configured to use its Tx analog beam pattern (instead of Rx beam pattern).</w:t>
      </w:r>
      <w:r>
        <w:rPr>
          <w:b/>
          <w:bCs/>
          <w:i/>
          <w:iCs/>
        </w:rPr>
        <w:fldChar w:fldCharType="end"/>
      </w:r>
    </w:p>
    <w:p w14:paraId="04CD91EB" w14:textId="075348A3" w:rsidR="00F44E33" w:rsidRDefault="00F44E33" w:rsidP="00FB4DAC">
      <w:pPr>
        <w:spacing w:after="60"/>
        <w:jc w:val="both"/>
        <w:rPr>
          <w:i/>
          <w:i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6</w:t>
      </w:r>
      <w:r w:rsidRPr="002452A0">
        <w:fldChar w:fldCharType="end"/>
      </w:r>
      <w:r w:rsidRPr="00DB7B12">
        <w:rPr>
          <w:i/>
          <w:iCs/>
          <w:lang w:val="en-GB"/>
        </w:rPr>
        <w:t>:</w:t>
      </w:r>
      <w:r>
        <w:rPr>
          <w:i/>
          <w:iCs/>
          <w:lang w:val="en-GB"/>
        </w:rPr>
        <w:t xml:space="preserve"> </w:t>
      </w:r>
      <w:r w:rsidR="00BE0159">
        <w:rPr>
          <w:b/>
          <w:bCs/>
          <w:i/>
          <w:iCs/>
        </w:rPr>
        <w:fldChar w:fldCharType="begin"/>
      </w:r>
      <w:r w:rsidR="00BE0159">
        <w:rPr>
          <w:i/>
          <w:iCs/>
          <w:lang w:val="en-GB"/>
        </w:rPr>
        <w:instrText xml:space="preserve"> REF _Ref127287210 \h </w:instrText>
      </w:r>
      <w:r w:rsidR="00B76831">
        <w:rPr>
          <w:b/>
          <w:bCs/>
          <w:i/>
          <w:iCs/>
        </w:rPr>
        <w:instrText xml:space="preserve"> \* MERGEFORMAT </w:instrText>
      </w:r>
      <w:r w:rsidR="00BE0159">
        <w:rPr>
          <w:b/>
          <w:bCs/>
          <w:i/>
          <w:iCs/>
        </w:rPr>
      </w:r>
      <w:r w:rsidR="00BE0159">
        <w:rPr>
          <w:b/>
          <w:bCs/>
          <w:i/>
          <w:iCs/>
        </w:rPr>
        <w:fldChar w:fldCharType="separate"/>
      </w:r>
      <w:r w:rsidR="0064000E" w:rsidRPr="005C1741">
        <w:rPr>
          <w:b/>
          <w:bCs/>
          <w:i/>
          <w:iCs/>
        </w:rPr>
        <w:t>Fast CLI measurements are required due to dynamic scheduling of UEs.</w:t>
      </w:r>
      <w:r w:rsidR="0064000E">
        <w:rPr>
          <w:b/>
          <w:bCs/>
          <w:i/>
          <w:iCs/>
        </w:rPr>
        <w:t xml:space="preserve"> Configuring resources for such fast CLI measurements will increase measurement resource overhead</w:t>
      </w:r>
      <w:r w:rsidR="00BE0159">
        <w:rPr>
          <w:b/>
          <w:bCs/>
          <w:i/>
          <w:iCs/>
        </w:rPr>
        <w:fldChar w:fldCharType="end"/>
      </w:r>
    </w:p>
    <w:p w14:paraId="18AB7895" w14:textId="01F34DD3" w:rsidR="009537BB" w:rsidRDefault="009537BB" w:rsidP="00FB4DAC">
      <w:pPr>
        <w:spacing w:after="60"/>
        <w:jc w:val="both"/>
      </w:pPr>
      <w:r w:rsidRPr="002452A0">
        <w:rPr>
          <w:b/>
          <w:bCs/>
          <w:i/>
          <w:iCs/>
          <w:bdr w:val="none" w:sz="0" w:space="0" w:color="auto" w:frame="1"/>
        </w:rPr>
        <w:lastRenderedPageBreak/>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7</w:t>
      </w:r>
      <w:r w:rsidRPr="002452A0">
        <w:fldChar w:fldCharType="end"/>
      </w:r>
      <w:r w:rsidRPr="00DB7B12">
        <w:rPr>
          <w:i/>
          <w:iCs/>
          <w:lang w:val="en-GB"/>
        </w:rPr>
        <w:t>:</w:t>
      </w:r>
      <w:r>
        <w:rPr>
          <w:i/>
          <w:iCs/>
          <w:lang w:val="en-GB"/>
        </w:rPr>
        <w:t xml:space="preserve"> </w:t>
      </w:r>
      <w:r w:rsidR="0064000E" w:rsidRPr="0064000E">
        <w:rPr>
          <w:b/>
          <w:bCs/>
          <w:i/>
          <w:iCs/>
          <w:lang w:val="en-GB"/>
        </w:rPr>
        <w:t>Based on R16 CLI reporting, the UE cannot report the presence of CLI unless the CLI measurement is configured by the network</w:t>
      </w:r>
      <w:r w:rsidR="0064000E" w:rsidRPr="0064000E">
        <w:rPr>
          <w:b/>
          <w:bCs/>
          <w:i/>
          <w:iCs/>
          <w:lang w:val="en-GB"/>
        </w:rPr>
        <w:t>.</w:t>
      </w:r>
    </w:p>
    <w:p w14:paraId="24333112" w14:textId="1F4904A6" w:rsidR="00F44E33" w:rsidRDefault="00F44E33" w:rsidP="00FB4DAC">
      <w:pPr>
        <w:spacing w:after="60"/>
        <w:jc w:val="both"/>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8</w:t>
      </w:r>
      <w:r w:rsidRPr="002452A0">
        <w:fldChar w:fldCharType="end"/>
      </w:r>
      <w:r w:rsidRPr="00DB7B12">
        <w:rPr>
          <w:i/>
          <w:iCs/>
          <w:lang w:val="en-GB"/>
        </w:rPr>
        <w:t>:</w:t>
      </w:r>
      <w:r w:rsidRPr="00F44E33">
        <w:rPr>
          <w:b/>
          <w:bCs/>
          <w:i/>
          <w:iCs/>
        </w:rPr>
        <w:t xml:space="preserve"> </w:t>
      </w:r>
      <w:r w:rsidR="00081326">
        <w:rPr>
          <w:b/>
          <w:bCs/>
          <w:i/>
          <w:iCs/>
        </w:rPr>
        <w:fldChar w:fldCharType="begin"/>
      </w:r>
      <w:r w:rsidR="00081326">
        <w:rPr>
          <w:b/>
          <w:bCs/>
          <w:i/>
          <w:iCs/>
        </w:rPr>
        <w:instrText xml:space="preserve"> REF _Ref127183182 \h </w:instrText>
      </w:r>
      <w:r w:rsidR="00B76831">
        <w:rPr>
          <w:b/>
          <w:bCs/>
          <w:i/>
          <w:iCs/>
        </w:rPr>
        <w:instrText xml:space="preserve"> \* MERGEFORMAT </w:instrText>
      </w:r>
      <w:r w:rsidR="00081326">
        <w:rPr>
          <w:b/>
          <w:bCs/>
          <w:i/>
          <w:iCs/>
        </w:rPr>
      </w:r>
      <w:r w:rsidR="00081326">
        <w:rPr>
          <w:b/>
          <w:bCs/>
          <w:i/>
          <w:iCs/>
        </w:rPr>
        <w:fldChar w:fldCharType="separate"/>
      </w:r>
      <w:r w:rsidR="0064000E">
        <w:rPr>
          <w:b/>
          <w:bCs/>
          <w:i/>
          <w:iCs/>
        </w:rPr>
        <w:t>SRS-RSRP measurement within a GB can address resource overhead problem and make good use of available GB resources</w:t>
      </w:r>
      <w:r w:rsidR="00081326">
        <w:rPr>
          <w:b/>
          <w:bCs/>
          <w:i/>
          <w:iCs/>
        </w:rPr>
        <w:fldChar w:fldCharType="end"/>
      </w:r>
    </w:p>
    <w:p w14:paraId="6765BFE0" w14:textId="6AA33C83" w:rsidR="00AD5140" w:rsidRDefault="00AD5140" w:rsidP="00FB4DAC">
      <w:pPr>
        <w:overflowPunct/>
        <w:autoSpaceDE/>
        <w:autoSpaceDN/>
        <w:adjustRightInd/>
        <w:spacing w:after="6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64000E">
        <w:rPr>
          <w:b/>
          <w:bCs/>
          <w:i/>
          <w:iCs/>
          <w:noProof/>
        </w:rPr>
        <w:t>9</w:t>
      </w:r>
      <w:r w:rsidRPr="002452A0">
        <w:fldChar w:fldCharType="end"/>
      </w:r>
      <w:r w:rsidRPr="00DB7B12">
        <w:rPr>
          <w:i/>
          <w:iCs/>
          <w:lang w:val="en-GB"/>
        </w:rPr>
        <w:t>:</w:t>
      </w:r>
      <w:r w:rsidRPr="00F44E33">
        <w:rPr>
          <w:b/>
          <w:bCs/>
          <w:i/>
          <w:iCs/>
        </w:rPr>
        <w:t xml:space="preserve"> </w:t>
      </w:r>
      <w:r w:rsidR="003475C8">
        <w:rPr>
          <w:b/>
          <w:bCs/>
          <w:i/>
          <w:iCs/>
        </w:rPr>
        <w:fldChar w:fldCharType="begin"/>
      </w:r>
      <w:r w:rsidR="003475C8">
        <w:rPr>
          <w:b/>
          <w:bCs/>
          <w:i/>
          <w:iCs/>
        </w:rPr>
        <w:instrText xml:space="preserve"> REF _Ref127285889 \h </w:instrText>
      </w:r>
      <w:r w:rsidR="00B76831">
        <w:rPr>
          <w:b/>
          <w:bCs/>
          <w:i/>
          <w:iCs/>
        </w:rPr>
        <w:instrText xml:space="preserve"> \* MERGEFORMAT </w:instrText>
      </w:r>
      <w:r w:rsidR="003475C8">
        <w:rPr>
          <w:b/>
          <w:bCs/>
          <w:i/>
          <w:iCs/>
        </w:rPr>
      </w:r>
      <w:r w:rsidR="003475C8">
        <w:rPr>
          <w:b/>
          <w:bCs/>
          <w:i/>
          <w:iCs/>
        </w:rPr>
        <w:fldChar w:fldCharType="separate"/>
      </w:r>
      <w:r w:rsidR="0064000E">
        <w:rPr>
          <w:b/>
          <w:bCs/>
          <w:i/>
          <w:iCs/>
        </w:rPr>
        <w:t>Efficient SRS-RSRP measurement within a GB requires redesigning of SRS configuration to fit GB size</w:t>
      </w:r>
      <w:r w:rsidR="003475C8">
        <w:rPr>
          <w:b/>
          <w:bCs/>
          <w:i/>
          <w:iCs/>
        </w:rPr>
        <w:fldChar w:fldCharType="end"/>
      </w:r>
    </w:p>
    <w:p w14:paraId="2937ADFB" w14:textId="77777777" w:rsidR="0064000E" w:rsidRDefault="00026C85" w:rsidP="0064000E">
      <w:pPr>
        <w:spacing w:after="60"/>
        <w:jc w:val="both"/>
        <w:rPr>
          <w:b/>
          <w:bCs/>
          <w:i/>
          <w:iCs/>
        </w:rPr>
      </w:pPr>
      <w:r w:rsidRPr="00293805">
        <w:rPr>
          <w:b/>
          <w:i/>
          <w:iCs/>
          <w:bdr w:val="none" w:sz="0" w:space="0" w:color="auto" w:frame="1"/>
        </w:rPr>
        <w:t xml:space="preserve">Observation </w:t>
      </w:r>
      <w:r w:rsidRPr="00293805">
        <w:rPr>
          <w:b/>
        </w:rPr>
        <w:fldChar w:fldCharType="begin"/>
      </w:r>
      <w:r w:rsidRPr="00293805">
        <w:rPr>
          <w:b/>
          <w:i/>
          <w:iCs/>
        </w:rPr>
        <w:instrText xml:space="preserve"> SEQ Observation \* ARABIC </w:instrText>
      </w:r>
      <w:r w:rsidRPr="00293805">
        <w:rPr>
          <w:b/>
        </w:rPr>
        <w:fldChar w:fldCharType="separate"/>
      </w:r>
      <w:r w:rsidR="0064000E">
        <w:rPr>
          <w:b/>
          <w:i/>
          <w:iCs/>
          <w:noProof/>
        </w:rPr>
        <w:t>10</w:t>
      </w:r>
      <w:r w:rsidRPr="00293805">
        <w:rPr>
          <w:b/>
        </w:rPr>
        <w:fldChar w:fldCharType="end"/>
      </w:r>
      <w:r w:rsidRPr="00293805">
        <w:rPr>
          <w:b/>
        </w:rPr>
        <w:t xml:space="preserve">: </w:t>
      </w:r>
      <w:r w:rsidR="00081326">
        <w:rPr>
          <w:bCs/>
          <w:i/>
          <w:iCs/>
        </w:rPr>
        <w:fldChar w:fldCharType="begin"/>
      </w:r>
      <w:r w:rsidR="00081326">
        <w:instrText xml:space="preserve"> REF _Ref127183199 \h </w:instrText>
      </w:r>
      <w:r w:rsidR="00B76831">
        <w:rPr>
          <w:bCs/>
          <w:i/>
          <w:iCs/>
        </w:rPr>
        <w:instrText xml:space="preserve"> \* MERGEFORMAT </w:instrText>
      </w:r>
      <w:r w:rsidR="00081326">
        <w:rPr>
          <w:bCs/>
          <w:i/>
          <w:iCs/>
        </w:rPr>
      </w:r>
      <w:r w:rsidR="00081326">
        <w:rPr>
          <w:bCs/>
          <w:i/>
          <w:iCs/>
        </w:rPr>
        <w:fldChar w:fldCharType="separate"/>
      </w:r>
      <w:r w:rsidR="0064000E">
        <w:rPr>
          <w:b/>
          <w:bCs/>
          <w:i/>
          <w:iCs/>
        </w:rPr>
        <w:t>Frequency differentiation for CLI measurement on UL-SB can enable gNB to identify individual CLI aggressors.</w:t>
      </w:r>
    </w:p>
    <w:p w14:paraId="2D265187" w14:textId="498B0CFB" w:rsidR="00026C85" w:rsidRPr="00501927" w:rsidRDefault="00081326" w:rsidP="00501927">
      <w:pPr>
        <w:pStyle w:val="Caption"/>
        <w:spacing w:before="0" w:after="60"/>
        <w:jc w:val="both"/>
        <w:rPr>
          <w:bCs/>
          <w:i/>
          <w:iCs/>
        </w:rPr>
      </w:pPr>
      <w:r>
        <w:rPr>
          <w:bCs/>
          <w:i/>
          <w:iCs/>
        </w:rPr>
        <w:fldChar w:fldCharType="end"/>
      </w:r>
      <w:r w:rsidR="00E352D7" w:rsidRPr="002452A0">
        <w:rPr>
          <w:bCs/>
          <w:i/>
          <w:iCs/>
          <w:bdr w:val="none" w:sz="0" w:space="0" w:color="auto" w:frame="1"/>
        </w:rPr>
        <w:t xml:space="preserve">Observation </w:t>
      </w:r>
      <w:r w:rsidR="00E352D7" w:rsidRPr="002452A0">
        <w:fldChar w:fldCharType="begin"/>
      </w:r>
      <w:r w:rsidR="00E352D7" w:rsidRPr="002452A0">
        <w:rPr>
          <w:bCs/>
          <w:i/>
          <w:iCs/>
        </w:rPr>
        <w:instrText xml:space="preserve"> SEQ Observation \* ARABIC </w:instrText>
      </w:r>
      <w:r w:rsidR="00E352D7" w:rsidRPr="002452A0">
        <w:fldChar w:fldCharType="separate"/>
      </w:r>
      <w:r w:rsidR="0064000E">
        <w:rPr>
          <w:bCs/>
          <w:i/>
          <w:iCs/>
          <w:noProof/>
        </w:rPr>
        <w:t>11</w:t>
      </w:r>
      <w:r w:rsidR="00E352D7" w:rsidRPr="002452A0">
        <w:fldChar w:fldCharType="end"/>
      </w:r>
      <w:r w:rsidR="00E352D7" w:rsidRPr="00DB7B12">
        <w:rPr>
          <w:i/>
          <w:iCs/>
          <w:lang w:val="en-GB"/>
        </w:rPr>
        <w:t>:</w:t>
      </w:r>
      <w:r w:rsidR="00E352D7">
        <w:rPr>
          <w:i/>
          <w:iCs/>
          <w:lang w:val="en-GB"/>
        </w:rPr>
        <w:t xml:space="preserve"> </w:t>
      </w:r>
      <w:r w:rsidR="003475C8" w:rsidRPr="003475C8">
        <w:rPr>
          <w:bCs/>
          <w:i/>
          <w:iCs/>
        </w:rPr>
        <w:fldChar w:fldCharType="begin"/>
      </w:r>
      <w:r w:rsidR="003475C8" w:rsidRPr="003475C8">
        <w:rPr>
          <w:bCs/>
          <w:i/>
          <w:iCs/>
          <w:lang w:val="en-GB"/>
        </w:rPr>
        <w:instrText xml:space="preserve"> REF _Ref127285906 \h </w:instrText>
      </w:r>
      <w:r w:rsidR="003475C8" w:rsidRPr="003475C8">
        <w:rPr>
          <w:bCs/>
          <w:i/>
          <w:iCs/>
        </w:rPr>
        <w:instrText xml:space="preserve"> \* MERGEFORMAT </w:instrText>
      </w:r>
      <w:r w:rsidR="003475C8" w:rsidRPr="003475C8">
        <w:rPr>
          <w:bCs/>
          <w:i/>
          <w:iCs/>
        </w:rPr>
      </w:r>
      <w:r w:rsidR="003475C8" w:rsidRPr="003475C8">
        <w:rPr>
          <w:bCs/>
          <w:i/>
          <w:iCs/>
        </w:rPr>
        <w:fldChar w:fldCharType="separate"/>
      </w:r>
      <w:r w:rsidR="0064000E">
        <w:rPr>
          <w:bCs/>
          <w:i/>
          <w:iCs/>
        </w:rPr>
        <w:t>Autonomous UE-UE CLI detection can reduce measurement resource overhead and enable faster CLI reporting</w:t>
      </w:r>
      <w:r w:rsidR="003475C8" w:rsidRPr="003475C8">
        <w:rPr>
          <w:bCs/>
          <w:i/>
          <w:iCs/>
        </w:rPr>
        <w:fldChar w:fldCharType="end"/>
      </w:r>
    </w:p>
    <w:p w14:paraId="4287F23D" w14:textId="77777777" w:rsidR="005C24A1" w:rsidRPr="005C24A1" w:rsidRDefault="005C24A1" w:rsidP="00FB4DAC">
      <w:pPr>
        <w:spacing w:after="60"/>
        <w:jc w:val="both"/>
      </w:pPr>
    </w:p>
    <w:p w14:paraId="520FBB61" w14:textId="36536BB3" w:rsidR="00066170" w:rsidRDefault="00066170" w:rsidP="00FB4DAC">
      <w:pPr>
        <w:spacing w:after="60"/>
        <w:jc w:val="both"/>
        <w:rPr>
          <w:b/>
          <w:bCs/>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64000E">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790600" w:rsidRPr="00F17ECD">
        <w:rPr>
          <w:b/>
          <w:bCs/>
          <w:i/>
          <w:iCs/>
        </w:rPr>
        <w:fldChar w:fldCharType="begin"/>
      </w:r>
      <w:r w:rsidR="00790600" w:rsidRPr="00F17ECD">
        <w:rPr>
          <w:rFonts w:cstheme="minorHAnsi"/>
          <w:b/>
          <w:bCs/>
          <w:i/>
          <w:iCs/>
        </w:rPr>
        <w:instrText xml:space="preserve"> REF _Ref118368090 \h </w:instrText>
      </w:r>
      <w:r w:rsidR="00790600" w:rsidRPr="00F17ECD">
        <w:rPr>
          <w:b/>
          <w:bCs/>
          <w:i/>
          <w:iCs/>
        </w:rPr>
        <w:instrText xml:space="preserve"> \* MERGEFORMAT </w:instrText>
      </w:r>
      <w:r w:rsidR="00790600" w:rsidRPr="00F17ECD">
        <w:rPr>
          <w:b/>
          <w:bCs/>
          <w:i/>
          <w:iCs/>
        </w:rPr>
      </w:r>
      <w:r w:rsidR="00790600" w:rsidRPr="00F17ECD">
        <w:rPr>
          <w:b/>
          <w:bCs/>
          <w:i/>
          <w:iCs/>
        </w:rPr>
        <w:fldChar w:fldCharType="separate"/>
      </w:r>
      <w:r w:rsidR="0064000E" w:rsidRPr="0064000E">
        <w:rPr>
          <w:b/>
          <w:bCs/>
          <w:i/>
          <w:iCs/>
        </w:rPr>
        <w:t>RAN1 to study the feasibility of enabling two UL power control loops for gNB-gNB CLI handling in DTDD and SBFD.</w:t>
      </w:r>
      <w:r w:rsidR="00790600" w:rsidRPr="00F17ECD">
        <w:rPr>
          <w:b/>
          <w:bCs/>
          <w:i/>
          <w:iCs/>
        </w:rPr>
        <w:fldChar w:fldCharType="end"/>
      </w:r>
    </w:p>
    <w:p w14:paraId="0093C919" w14:textId="3BC9D89B" w:rsidR="00F17ECD" w:rsidRDefault="00673097" w:rsidP="00FB4DAC">
      <w:pPr>
        <w:spacing w:after="60"/>
        <w:jc w:val="both"/>
        <w:rPr>
          <w:b/>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2</w:t>
      </w:r>
      <w:r w:rsidRPr="002452A0">
        <w:rPr>
          <w:b/>
          <w:bCs/>
          <w:i/>
          <w:iCs/>
        </w:rPr>
        <w:fldChar w:fldCharType="end"/>
      </w:r>
      <w:r w:rsidRPr="002452A0">
        <w:rPr>
          <w:rFonts w:cstheme="minorHAnsi"/>
          <w:b/>
          <w:bCs/>
          <w:i/>
          <w:iCs/>
        </w:rPr>
        <w:t xml:space="preserve">: </w:t>
      </w:r>
      <w:r w:rsidR="00F17ECD" w:rsidRPr="00F17ECD">
        <w:rPr>
          <w:b/>
          <w:i/>
          <w:iCs/>
          <w:lang w:val="en-GB"/>
        </w:rPr>
        <w:fldChar w:fldCharType="begin"/>
      </w:r>
      <w:r w:rsidR="00F17ECD" w:rsidRPr="00F17ECD">
        <w:rPr>
          <w:rFonts w:cstheme="minorHAnsi"/>
          <w:b/>
          <w:i/>
          <w:iCs/>
        </w:rPr>
        <w:instrText xml:space="preserve"> REF _Ref118368112 \h </w:instrText>
      </w:r>
      <w:r w:rsidR="00F17ECD" w:rsidRPr="00F17ECD">
        <w:rPr>
          <w:b/>
          <w:i/>
          <w:iCs/>
          <w:lang w:val="en-GB"/>
        </w:rPr>
        <w:instrText xml:space="preserve"> \* MERGEFORMAT </w:instrText>
      </w:r>
      <w:r w:rsidR="00F17ECD" w:rsidRPr="00F17ECD">
        <w:rPr>
          <w:b/>
          <w:i/>
          <w:iCs/>
          <w:lang w:val="en-GB"/>
        </w:rPr>
      </w:r>
      <w:r w:rsidR="00F17ECD" w:rsidRPr="00F17ECD">
        <w:rPr>
          <w:b/>
          <w:i/>
          <w:iCs/>
          <w:lang w:val="en-GB"/>
        </w:rPr>
        <w:fldChar w:fldCharType="separate"/>
      </w:r>
      <w:r w:rsidR="0064000E" w:rsidRPr="0064000E">
        <w:rPr>
          <w:b/>
          <w:i/>
          <w:iCs/>
          <w:lang w:val="en-GB"/>
        </w:rPr>
        <w:t>Support the use of a bitmap for slot indication to the UE when two UL power control loops are enabled for gNB-gNB CLI handling in DTDD and SBFD.</w:t>
      </w:r>
      <w:r w:rsidR="00F17ECD" w:rsidRPr="00F17ECD">
        <w:rPr>
          <w:b/>
          <w:i/>
          <w:iCs/>
          <w:lang w:val="en-GB"/>
        </w:rPr>
        <w:fldChar w:fldCharType="end"/>
      </w:r>
    </w:p>
    <w:p w14:paraId="334457BD" w14:textId="61B92C1C" w:rsidR="00673097" w:rsidRDefault="0009385F" w:rsidP="00FB4DAC">
      <w:pPr>
        <w:spacing w:after="60"/>
        <w:jc w:val="both"/>
        <w:rPr>
          <w:b/>
          <w:bCs/>
          <w:i/>
          <w:iCs/>
          <w:lang w:eastAsia="da-DK"/>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3</w:t>
      </w:r>
      <w:r w:rsidRPr="002452A0">
        <w:rPr>
          <w:b/>
          <w:bCs/>
          <w:i/>
          <w:iCs/>
        </w:rPr>
        <w:fldChar w:fldCharType="end"/>
      </w:r>
      <w:r w:rsidRPr="002452A0">
        <w:rPr>
          <w:rFonts w:cstheme="minorHAnsi"/>
          <w:b/>
          <w:bCs/>
          <w:i/>
          <w:iCs/>
        </w:rPr>
        <w:t xml:space="preserve">: </w:t>
      </w:r>
      <w:r w:rsidR="00F17ECD">
        <w:rPr>
          <w:b/>
          <w:bCs/>
          <w:i/>
          <w:iCs/>
          <w:lang w:eastAsia="da-DK"/>
        </w:rPr>
        <w:fldChar w:fldCharType="begin"/>
      </w:r>
      <w:r w:rsidR="00F17ECD">
        <w:rPr>
          <w:rFonts w:cstheme="minorHAnsi"/>
          <w:b/>
          <w:bCs/>
          <w:i/>
          <w:iCs/>
        </w:rPr>
        <w:instrText xml:space="preserve"> REF _Ref118368128 \h </w:instrText>
      </w:r>
      <w:r w:rsidR="00B76831">
        <w:rPr>
          <w:b/>
          <w:bCs/>
          <w:i/>
          <w:iCs/>
          <w:lang w:eastAsia="da-DK"/>
        </w:rPr>
        <w:instrText xml:space="preserve"> \* MERGEFORMAT </w:instrText>
      </w:r>
      <w:r w:rsidR="00F17ECD">
        <w:rPr>
          <w:b/>
          <w:bCs/>
          <w:i/>
          <w:iCs/>
          <w:lang w:eastAsia="da-DK"/>
        </w:rPr>
      </w:r>
      <w:r w:rsidR="00F17ECD">
        <w:rPr>
          <w:b/>
          <w:bCs/>
          <w:i/>
          <w:iCs/>
          <w:lang w:eastAsia="da-DK"/>
        </w:rPr>
        <w:fldChar w:fldCharType="separate"/>
      </w:r>
      <w:r w:rsidR="0064000E" w:rsidRPr="002452A0">
        <w:rPr>
          <w:b/>
          <w:bCs/>
          <w:i/>
          <w:iCs/>
          <w:lang w:eastAsia="da-DK"/>
        </w:rPr>
        <w:t>Study whether SRS-RSRP-based ranking of UE aggressor candidates is sufficient for the optimization of UL-DL inter-subband CLI.</w:t>
      </w:r>
      <w:r w:rsidR="00F17ECD">
        <w:rPr>
          <w:b/>
          <w:bCs/>
          <w:i/>
          <w:iCs/>
          <w:lang w:eastAsia="da-DK"/>
        </w:rPr>
        <w:fldChar w:fldCharType="end"/>
      </w:r>
    </w:p>
    <w:p w14:paraId="76FB88CC" w14:textId="5893AAAA" w:rsidR="0009385F" w:rsidRDefault="0009385F" w:rsidP="00FB4DAC">
      <w:pPr>
        <w:spacing w:after="60"/>
        <w:jc w:val="both"/>
        <w:rPr>
          <w:b/>
          <w:bCs/>
          <w:i/>
          <w:iCs/>
          <w:lang w:eastAsia="da-DK"/>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4</w:t>
      </w:r>
      <w:r w:rsidRPr="002452A0">
        <w:rPr>
          <w:b/>
          <w:bCs/>
          <w:i/>
          <w:iCs/>
        </w:rPr>
        <w:fldChar w:fldCharType="end"/>
      </w:r>
      <w:r w:rsidRPr="002452A0">
        <w:rPr>
          <w:rFonts w:cstheme="minorHAnsi"/>
          <w:b/>
          <w:bCs/>
          <w:i/>
          <w:iCs/>
        </w:rPr>
        <w:t xml:space="preserve">: </w:t>
      </w:r>
      <w:r w:rsidR="00F17ECD">
        <w:rPr>
          <w:b/>
          <w:bCs/>
          <w:i/>
          <w:iCs/>
          <w:lang w:eastAsia="da-DK"/>
        </w:rPr>
        <w:fldChar w:fldCharType="begin"/>
      </w:r>
      <w:r w:rsidR="00F17ECD">
        <w:rPr>
          <w:rFonts w:cstheme="minorHAnsi"/>
          <w:b/>
          <w:bCs/>
          <w:i/>
          <w:iCs/>
        </w:rPr>
        <w:instrText xml:space="preserve"> REF _Ref118368151 \h </w:instrText>
      </w:r>
      <w:r w:rsidR="00B76831">
        <w:rPr>
          <w:b/>
          <w:bCs/>
          <w:i/>
          <w:iCs/>
          <w:lang w:eastAsia="da-DK"/>
        </w:rPr>
        <w:instrText xml:space="preserve"> \* MERGEFORMAT </w:instrText>
      </w:r>
      <w:r w:rsidR="00F17ECD">
        <w:rPr>
          <w:b/>
          <w:bCs/>
          <w:i/>
          <w:iCs/>
          <w:lang w:eastAsia="da-DK"/>
        </w:rPr>
      </w:r>
      <w:r w:rsidR="00F17ECD">
        <w:rPr>
          <w:b/>
          <w:bCs/>
          <w:i/>
          <w:iCs/>
          <w:lang w:eastAsia="da-DK"/>
        </w:rPr>
        <w:fldChar w:fldCharType="separate"/>
      </w:r>
      <w:r w:rsidR="0064000E" w:rsidRPr="002452A0">
        <w:rPr>
          <w:b/>
          <w:bCs/>
          <w:i/>
          <w:iCs/>
          <w:lang w:eastAsia="da-DK"/>
        </w:rPr>
        <w:t>Study the feasibility and cost of muting co-channel interferer for the assessment of inter-subband UE CLI using CLI-RSSI measurements.</w:t>
      </w:r>
      <w:r w:rsidR="00F17ECD">
        <w:rPr>
          <w:b/>
          <w:bCs/>
          <w:i/>
          <w:iCs/>
          <w:lang w:eastAsia="da-DK"/>
        </w:rPr>
        <w:fldChar w:fldCharType="end"/>
      </w:r>
    </w:p>
    <w:p w14:paraId="2CA42B7D" w14:textId="0673C98D" w:rsidR="0009385F" w:rsidRDefault="0009385F" w:rsidP="00FB4DAC">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5</w:t>
      </w:r>
      <w:r w:rsidRPr="002452A0">
        <w:rPr>
          <w:b/>
          <w:bCs/>
          <w:i/>
          <w:iCs/>
        </w:rPr>
        <w:fldChar w:fldCharType="end"/>
      </w:r>
      <w:r w:rsidRPr="002452A0">
        <w:rPr>
          <w:rFonts w:cstheme="minorHAnsi"/>
          <w:b/>
          <w:bCs/>
          <w:i/>
          <w:iCs/>
        </w:rPr>
        <w:t xml:space="preserve">: </w:t>
      </w:r>
      <w:r w:rsidR="00F17ECD">
        <w:rPr>
          <w:b/>
          <w:bCs/>
          <w:i/>
          <w:iCs/>
        </w:rPr>
        <w:fldChar w:fldCharType="begin"/>
      </w:r>
      <w:r w:rsidR="00F17ECD">
        <w:rPr>
          <w:rFonts w:cstheme="minorHAnsi"/>
          <w:b/>
          <w:bCs/>
          <w:i/>
          <w:iCs/>
        </w:rPr>
        <w:instrText xml:space="preserve"> REF _Ref118368162 \h </w:instrText>
      </w:r>
      <w:r w:rsidR="00B76831">
        <w:rPr>
          <w:b/>
          <w:bCs/>
          <w:i/>
          <w:iCs/>
        </w:rPr>
        <w:instrText xml:space="preserve"> \* MERGEFORMAT </w:instrText>
      </w:r>
      <w:r w:rsidR="00F17ECD">
        <w:rPr>
          <w:b/>
          <w:bCs/>
          <w:i/>
          <w:iCs/>
        </w:rPr>
      </w:r>
      <w:r w:rsidR="00F17ECD">
        <w:rPr>
          <w:b/>
          <w:bCs/>
          <w:i/>
          <w:iCs/>
        </w:rPr>
        <w:fldChar w:fldCharType="separate"/>
      </w:r>
      <w:r w:rsidR="0064000E" w:rsidRPr="002452A0">
        <w:rPr>
          <w:b/>
          <w:bCs/>
          <w:i/>
          <w:iCs/>
        </w:rPr>
        <w:t>S</w:t>
      </w:r>
      <w:r w:rsidR="0064000E">
        <w:rPr>
          <w:b/>
          <w:bCs/>
          <w:i/>
          <w:iCs/>
        </w:rPr>
        <w:t>upport</w:t>
      </w:r>
      <w:r w:rsidR="0064000E" w:rsidRPr="002452A0">
        <w:rPr>
          <w:b/>
          <w:bCs/>
          <w:i/>
          <w:iCs/>
        </w:rPr>
        <w:t xml:space="preserve"> Layer-1 UE-UE CLI measurement and </w:t>
      </w:r>
      <w:r w:rsidR="0064000E">
        <w:rPr>
          <w:b/>
          <w:bCs/>
          <w:i/>
          <w:iCs/>
        </w:rPr>
        <w:t xml:space="preserve">study </w:t>
      </w:r>
      <w:r w:rsidR="0064000E" w:rsidRPr="002452A0">
        <w:rPr>
          <w:b/>
          <w:bCs/>
          <w:i/>
          <w:iCs/>
        </w:rPr>
        <w:t>the details of its features.</w:t>
      </w:r>
      <w:r w:rsidR="00F17ECD">
        <w:rPr>
          <w:b/>
          <w:bCs/>
          <w:i/>
          <w:iCs/>
        </w:rPr>
        <w:fldChar w:fldCharType="end"/>
      </w:r>
    </w:p>
    <w:p w14:paraId="4A4CC48A" w14:textId="3F2FE105" w:rsidR="006D20CA" w:rsidRDefault="006D20CA" w:rsidP="00FB4DAC">
      <w:pPr>
        <w:overflowPunct/>
        <w:autoSpaceDE/>
        <w:autoSpaceDN/>
        <w:adjustRightInd/>
        <w:spacing w:after="60"/>
        <w:jc w:val="both"/>
        <w:textAlignment w:val="center"/>
        <w:rPr>
          <w:rFonts w:cstheme="minorHAnsi"/>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6</w:t>
      </w:r>
      <w:r w:rsidRPr="002452A0">
        <w:rPr>
          <w:b/>
          <w:bCs/>
          <w:i/>
          <w:iCs/>
        </w:rPr>
        <w:fldChar w:fldCharType="end"/>
      </w:r>
      <w:r w:rsidRPr="002452A0">
        <w:rPr>
          <w:rFonts w:cstheme="minorHAnsi"/>
          <w:b/>
          <w:bCs/>
          <w:i/>
          <w:iCs/>
        </w:rPr>
        <w:t>:</w:t>
      </w:r>
      <w:r>
        <w:rPr>
          <w:rFonts w:cstheme="minorHAnsi"/>
          <w:b/>
          <w:bCs/>
          <w:i/>
          <w:iCs/>
        </w:rPr>
        <w:t xml:space="preserve"> </w:t>
      </w:r>
      <w:r>
        <w:rPr>
          <w:rFonts w:cstheme="minorHAnsi"/>
          <w:b/>
          <w:bCs/>
          <w:i/>
          <w:iCs/>
        </w:rPr>
        <w:fldChar w:fldCharType="begin"/>
      </w:r>
      <w:r>
        <w:rPr>
          <w:b/>
          <w:bCs/>
          <w:i/>
          <w:iCs/>
        </w:rPr>
        <w:instrText xml:space="preserve"> REF _Ref118368172 \h </w:instrText>
      </w:r>
      <w:r w:rsidR="00B76831">
        <w:rPr>
          <w:rFonts w:cstheme="minorHAnsi"/>
          <w:b/>
          <w:bCs/>
          <w:i/>
          <w:iCs/>
        </w:rPr>
        <w:instrText xml:space="preserve"> \* MERGEFORMAT </w:instrText>
      </w:r>
      <w:r>
        <w:rPr>
          <w:rFonts w:cstheme="minorHAnsi"/>
          <w:b/>
          <w:bCs/>
          <w:i/>
          <w:iCs/>
        </w:rPr>
      </w:r>
      <w:r>
        <w:rPr>
          <w:rFonts w:cstheme="minorHAnsi"/>
          <w:b/>
          <w:bCs/>
          <w:i/>
          <w:iCs/>
        </w:rPr>
        <w:fldChar w:fldCharType="separate"/>
      </w:r>
      <w:r w:rsidR="0064000E" w:rsidRPr="002452A0">
        <w:rPr>
          <w:b/>
          <w:bCs/>
          <w:i/>
          <w:iCs/>
        </w:rPr>
        <w:t>RAN1 to study the feasibility of using “reverse” UE-UE CLI measurement to protect legacy UEs not supporting such measurements.</w:t>
      </w:r>
      <w:r>
        <w:rPr>
          <w:rFonts w:cstheme="minorHAnsi"/>
          <w:b/>
          <w:bCs/>
          <w:i/>
          <w:iCs/>
        </w:rPr>
        <w:fldChar w:fldCharType="end"/>
      </w:r>
    </w:p>
    <w:p w14:paraId="70328D25" w14:textId="10AB6FF4" w:rsidR="006D20CA" w:rsidRDefault="006D20CA" w:rsidP="00FB4DAC">
      <w:pPr>
        <w:overflowPunct/>
        <w:autoSpaceDE/>
        <w:autoSpaceDN/>
        <w:adjustRightInd/>
        <w:spacing w:after="60"/>
        <w:jc w:val="both"/>
        <w:textAlignment w:val="center"/>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7</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_Ref118368194 \h </w:instrText>
      </w:r>
      <w:r w:rsidR="00B76831">
        <w:rPr>
          <w:b/>
          <w:bCs/>
          <w:i/>
          <w:iCs/>
        </w:rPr>
        <w:instrText xml:space="preserve"> \* MERGEFORMAT </w:instrText>
      </w:r>
      <w:r>
        <w:rPr>
          <w:b/>
          <w:bCs/>
          <w:i/>
          <w:iCs/>
        </w:rPr>
      </w:r>
      <w:r>
        <w:rPr>
          <w:b/>
          <w:bCs/>
          <w:i/>
          <w:iCs/>
        </w:rPr>
        <w:fldChar w:fldCharType="separate"/>
      </w:r>
      <w:r w:rsidR="0064000E" w:rsidRPr="009B79BD">
        <w:rPr>
          <w:b/>
          <w:bCs/>
          <w:i/>
          <w:iCs/>
        </w:rPr>
        <w:t>UE can be configured to report SRS-RSRP (or CLI-RSSI) per Rx antenna separately</w:t>
      </w:r>
      <w:r w:rsidR="0064000E" w:rsidRPr="002452A0">
        <w:rPr>
          <w:b/>
          <w:bCs/>
          <w:i/>
          <w:iCs/>
        </w:rPr>
        <w:t>.</w:t>
      </w:r>
      <w:r>
        <w:rPr>
          <w:b/>
          <w:bCs/>
          <w:i/>
          <w:iCs/>
        </w:rPr>
        <w:fldChar w:fldCharType="end"/>
      </w:r>
    </w:p>
    <w:p w14:paraId="33A56D08" w14:textId="46A32891" w:rsidR="006D20CA" w:rsidRPr="002452A0" w:rsidRDefault="006D20CA" w:rsidP="00FB4DAC">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8</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_Ref118368204 \h </w:instrText>
      </w:r>
      <w:r w:rsidR="00B76831">
        <w:rPr>
          <w:b/>
          <w:bCs/>
          <w:i/>
          <w:iCs/>
        </w:rPr>
        <w:instrText xml:space="preserve"> \* MERGEFORMAT </w:instrText>
      </w:r>
      <w:r>
        <w:rPr>
          <w:b/>
          <w:bCs/>
          <w:i/>
          <w:iCs/>
        </w:rPr>
      </w:r>
      <w:r>
        <w:rPr>
          <w:b/>
          <w:bCs/>
          <w:i/>
          <w:iCs/>
        </w:rPr>
        <w:fldChar w:fldCharType="separate"/>
      </w:r>
      <w:r w:rsidR="0064000E" w:rsidRPr="002452A0">
        <w:rPr>
          <w:b/>
          <w:bCs/>
          <w:i/>
          <w:iCs/>
        </w:rPr>
        <w:t>SRS-RSRP measurement can be configured with QCL-</w:t>
      </w:r>
      <w:proofErr w:type="spellStart"/>
      <w:r w:rsidR="0064000E" w:rsidRPr="002452A0">
        <w:rPr>
          <w:b/>
          <w:bCs/>
          <w:i/>
          <w:iCs/>
        </w:rPr>
        <w:t>TypeD</w:t>
      </w:r>
      <w:proofErr w:type="spellEnd"/>
      <w:r w:rsidR="0064000E" w:rsidRPr="002452A0">
        <w:rPr>
          <w:b/>
          <w:bCs/>
          <w:i/>
          <w:iCs/>
        </w:rPr>
        <w:t xml:space="preserve"> (spatial relationship information).</w:t>
      </w:r>
      <w:r>
        <w:rPr>
          <w:b/>
          <w:bCs/>
          <w:i/>
          <w:iCs/>
        </w:rPr>
        <w:fldChar w:fldCharType="end"/>
      </w:r>
    </w:p>
    <w:p w14:paraId="007B0E41" w14:textId="21D359BD" w:rsidR="006D20CA" w:rsidRDefault="006D20CA" w:rsidP="00FB4DAC">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9</w:t>
      </w:r>
      <w:r w:rsidRPr="002452A0">
        <w:rPr>
          <w:b/>
          <w:bCs/>
          <w:i/>
          <w:iCs/>
        </w:rPr>
        <w:fldChar w:fldCharType="end"/>
      </w:r>
      <w:r w:rsidRPr="002452A0">
        <w:rPr>
          <w:rFonts w:cstheme="minorHAnsi"/>
          <w:b/>
          <w:bCs/>
          <w:i/>
          <w:iCs/>
        </w:rPr>
        <w:t>:</w:t>
      </w:r>
      <w:r>
        <w:rPr>
          <w:rFonts w:cstheme="minorHAnsi"/>
          <w:b/>
          <w:bCs/>
          <w:i/>
          <w:iCs/>
        </w:rPr>
        <w:t xml:space="preserve"> </w:t>
      </w:r>
      <w:r w:rsidR="00461C79">
        <w:rPr>
          <w:b/>
          <w:bCs/>
          <w:i/>
          <w:iCs/>
        </w:rPr>
        <w:fldChar w:fldCharType="begin"/>
      </w:r>
      <w:r w:rsidR="00461C79">
        <w:rPr>
          <w:rFonts w:cstheme="minorHAnsi"/>
          <w:b/>
          <w:bCs/>
          <w:i/>
          <w:iCs/>
        </w:rPr>
        <w:instrText xml:space="preserve"> REF _Ref127286310 \h </w:instrText>
      </w:r>
      <w:r w:rsidR="00B76831">
        <w:rPr>
          <w:b/>
          <w:bCs/>
          <w:i/>
          <w:iCs/>
        </w:rPr>
        <w:instrText xml:space="preserve"> \* MERGEFORMAT </w:instrText>
      </w:r>
      <w:r w:rsidR="00461C79">
        <w:rPr>
          <w:b/>
          <w:bCs/>
          <w:i/>
          <w:iCs/>
        </w:rPr>
      </w:r>
      <w:r w:rsidR="00461C79">
        <w:rPr>
          <w:b/>
          <w:bCs/>
          <w:i/>
          <w:iCs/>
        </w:rPr>
        <w:fldChar w:fldCharType="separate"/>
      </w:r>
      <w:r w:rsidR="0064000E">
        <w:rPr>
          <w:b/>
          <w:bCs/>
          <w:i/>
          <w:iCs/>
        </w:rPr>
        <w:t>Study optimized SRS configurations for CLI measurement within a GB</w:t>
      </w:r>
      <w:r w:rsidR="00461C79">
        <w:rPr>
          <w:b/>
          <w:bCs/>
          <w:i/>
          <w:iCs/>
        </w:rPr>
        <w:fldChar w:fldCharType="end"/>
      </w:r>
    </w:p>
    <w:p w14:paraId="1D3FA144" w14:textId="3DC0D322" w:rsidR="006D20CA" w:rsidRPr="006D20CA" w:rsidRDefault="006D20CA" w:rsidP="00FB4DAC">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10</w:t>
      </w:r>
      <w:r w:rsidRPr="002452A0">
        <w:rPr>
          <w:b/>
          <w:bCs/>
          <w:i/>
          <w:iCs/>
        </w:rPr>
        <w:fldChar w:fldCharType="end"/>
      </w:r>
      <w:r w:rsidRPr="002452A0">
        <w:rPr>
          <w:rFonts w:cstheme="minorHAnsi"/>
          <w:b/>
          <w:bCs/>
          <w:i/>
          <w:iCs/>
        </w:rPr>
        <w:t>:</w:t>
      </w:r>
      <w:r>
        <w:rPr>
          <w:rFonts w:cstheme="minorHAnsi"/>
          <w:b/>
          <w:bCs/>
          <w:i/>
          <w:iCs/>
        </w:rPr>
        <w:t xml:space="preserve"> </w:t>
      </w:r>
      <w:r w:rsidR="00461C79">
        <w:rPr>
          <w:b/>
          <w:bCs/>
          <w:i/>
          <w:iCs/>
        </w:rPr>
        <w:fldChar w:fldCharType="begin"/>
      </w:r>
      <w:r w:rsidR="00461C79">
        <w:rPr>
          <w:rFonts w:cstheme="minorHAnsi"/>
          <w:b/>
          <w:bCs/>
          <w:i/>
          <w:iCs/>
        </w:rPr>
        <w:instrText xml:space="preserve"> REF _Ref127286325 \h </w:instrText>
      </w:r>
      <w:r w:rsidR="00B76831">
        <w:rPr>
          <w:b/>
          <w:bCs/>
          <w:i/>
          <w:iCs/>
        </w:rPr>
        <w:instrText xml:space="preserve"> \* MERGEFORMAT </w:instrText>
      </w:r>
      <w:r w:rsidR="00461C79">
        <w:rPr>
          <w:b/>
          <w:bCs/>
          <w:i/>
          <w:iCs/>
        </w:rPr>
      </w:r>
      <w:r w:rsidR="00461C79">
        <w:rPr>
          <w:b/>
          <w:bCs/>
          <w:i/>
          <w:iCs/>
        </w:rPr>
        <w:fldChar w:fldCharType="separate"/>
      </w:r>
      <w:r w:rsidR="0064000E">
        <w:rPr>
          <w:b/>
          <w:bCs/>
          <w:i/>
          <w:iCs/>
        </w:rPr>
        <w:t>Study CLI measurement on UL-SB with frequency differentiation</w:t>
      </w:r>
      <w:r w:rsidR="00461C79">
        <w:rPr>
          <w:b/>
          <w:bCs/>
          <w:i/>
          <w:iCs/>
        </w:rPr>
        <w:fldChar w:fldCharType="end"/>
      </w:r>
    </w:p>
    <w:p w14:paraId="3394A1B3" w14:textId="03E349BD" w:rsidR="00F44E33" w:rsidRPr="00FB4DAC" w:rsidRDefault="0014530D" w:rsidP="00FB4DAC">
      <w:pPr>
        <w:spacing w:after="60"/>
        <w:jc w:val="both"/>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64000E">
        <w:rPr>
          <w:b/>
          <w:bCs/>
          <w:i/>
          <w:iCs/>
          <w:noProof/>
        </w:rPr>
        <w:t>11</w:t>
      </w:r>
      <w:r w:rsidRPr="002452A0">
        <w:rPr>
          <w:b/>
          <w:bCs/>
          <w:i/>
          <w:iCs/>
        </w:rPr>
        <w:fldChar w:fldCharType="end"/>
      </w:r>
      <w:r w:rsidRPr="002452A0">
        <w:rPr>
          <w:rFonts w:cstheme="minorHAnsi"/>
          <w:b/>
          <w:bCs/>
          <w:i/>
          <w:iCs/>
        </w:rPr>
        <w:t>:</w:t>
      </w:r>
      <w:r>
        <w:rPr>
          <w:rFonts w:cstheme="minorHAnsi"/>
          <w:b/>
          <w:bCs/>
          <w:i/>
          <w:iCs/>
        </w:rPr>
        <w:t xml:space="preserve"> </w:t>
      </w:r>
      <w:r w:rsidR="003370D5">
        <w:rPr>
          <w:b/>
          <w:bCs/>
          <w:i/>
          <w:iCs/>
        </w:rPr>
        <w:fldChar w:fldCharType="begin"/>
      </w:r>
      <w:r w:rsidR="003370D5">
        <w:rPr>
          <w:rFonts w:cstheme="minorHAnsi"/>
          <w:b/>
          <w:bCs/>
          <w:i/>
          <w:iCs/>
        </w:rPr>
        <w:instrText xml:space="preserve"> REF _Ref127183693 \h </w:instrText>
      </w:r>
      <w:r w:rsidR="00B76831">
        <w:rPr>
          <w:b/>
          <w:bCs/>
          <w:i/>
          <w:iCs/>
        </w:rPr>
        <w:instrText xml:space="preserve"> \* MERGEFORMAT </w:instrText>
      </w:r>
      <w:r w:rsidR="003370D5">
        <w:rPr>
          <w:b/>
          <w:bCs/>
          <w:i/>
          <w:iCs/>
        </w:rPr>
      </w:r>
      <w:r w:rsidR="003370D5">
        <w:rPr>
          <w:b/>
          <w:bCs/>
          <w:i/>
          <w:iCs/>
        </w:rPr>
        <w:fldChar w:fldCharType="separate"/>
      </w:r>
      <w:r w:rsidR="0064000E">
        <w:rPr>
          <w:b/>
          <w:bCs/>
          <w:i/>
          <w:iCs/>
        </w:rPr>
        <w:t>Allow autonomous UE-UE CLI detection and study the details of a corresponding CLI reporting framework.</w:t>
      </w:r>
      <w:r w:rsidR="003370D5">
        <w:rPr>
          <w:b/>
          <w:bCs/>
          <w:i/>
          <w:iCs/>
        </w:rPr>
        <w:fldChar w:fldCharType="end"/>
      </w:r>
    </w:p>
    <w:p w14:paraId="183F509E" w14:textId="54148DE6" w:rsidR="009C1480" w:rsidRPr="001B1D5E" w:rsidRDefault="00055B71" w:rsidP="00B76831">
      <w:pPr>
        <w:pStyle w:val="Caption"/>
        <w:spacing w:before="0"/>
        <w:jc w:val="both"/>
        <w:rPr>
          <w:lang w:eastAsia="zh-CN"/>
        </w:rPr>
      </w:pPr>
      <w:r w:rsidRPr="001B1D5E">
        <w:rPr>
          <w:lang w:eastAsia="zh-CN"/>
        </w:rPr>
        <w:t>Reference</w:t>
      </w:r>
      <w:r w:rsidR="00E1545E" w:rsidRPr="001B1D5E">
        <w:rPr>
          <w:lang w:eastAsia="zh-CN"/>
        </w:rPr>
        <w:t>s</w:t>
      </w:r>
    </w:p>
    <w:p w14:paraId="1E8C3B65" w14:textId="77777777" w:rsidR="008D46DD" w:rsidRPr="001B1D5E" w:rsidRDefault="008D46DD" w:rsidP="00B76831">
      <w:pPr>
        <w:pStyle w:val="ListParagraph"/>
        <w:numPr>
          <w:ilvl w:val="0"/>
          <w:numId w:val="12"/>
        </w:numPr>
        <w:ind w:firstLineChars="0"/>
        <w:jc w:val="both"/>
        <w:rPr>
          <w:rFonts w:eastAsia="Times New Roman"/>
          <w:sz w:val="20"/>
          <w:szCs w:val="20"/>
          <w:lang w:val="en-GB" w:eastAsia="en-GB"/>
        </w:rPr>
      </w:pPr>
      <w:bookmarkStart w:id="50" w:name="_Ref102064508"/>
      <w:bookmarkStart w:id="51" w:name="_Ref102032953"/>
      <w:bookmarkStart w:id="52" w:name="_Ref95547977"/>
      <w:bookmarkStart w:id="53" w:name="_Ref528853922"/>
      <w:bookmarkStart w:id="54" w:name="_Ref481596356"/>
      <w:bookmarkStart w:id="55" w:name="_Ref481781528"/>
      <w:bookmarkStart w:id="56" w:name="_Ref481782557"/>
      <w:bookmarkStart w:id="57" w:name="_Ref101789663"/>
      <w:r w:rsidRPr="001B1D5E">
        <w:rPr>
          <w:rFonts w:eastAsia="Times New Roman"/>
          <w:sz w:val="20"/>
          <w:szCs w:val="20"/>
          <w:lang w:val="en-GB" w:eastAsia="en-GB"/>
        </w:rPr>
        <w:t>RP-213591, “New SI: Study on evolution of NR duplex operation”, CMCC, RAN#94e, December 2021.</w:t>
      </w:r>
      <w:bookmarkEnd w:id="50"/>
    </w:p>
    <w:p w14:paraId="076CC017" w14:textId="0142253F" w:rsidR="00585919" w:rsidRPr="001F615B" w:rsidRDefault="00585919" w:rsidP="00B76831">
      <w:pPr>
        <w:pStyle w:val="ListParagraph"/>
        <w:numPr>
          <w:ilvl w:val="0"/>
          <w:numId w:val="12"/>
        </w:numPr>
        <w:ind w:firstLineChars="0"/>
        <w:jc w:val="both"/>
        <w:rPr>
          <w:rFonts w:eastAsia="Times New Roman"/>
          <w:sz w:val="20"/>
          <w:szCs w:val="20"/>
          <w:lang w:val="en-GB" w:eastAsia="en-GB"/>
        </w:rPr>
      </w:pPr>
      <w:bookmarkStart w:id="58" w:name="_Ref102064539"/>
      <w:r w:rsidRPr="001B1D5E">
        <w:rPr>
          <w:sz w:val="20"/>
          <w:szCs w:val="20"/>
          <w:lang w:val="en-GB"/>
        </w:rPr>
        <w:t>R1-2204721, “Deployment Scenarios and Evaluation Methodology for NR Duplex Evolution”, MediaTek Inc</w:t>
      </w:r>
      <w:bookmarkEnd w:id="51"/>
      <w:r w:rsidR="00635C11" w:rsidRPr="001B1D5E">
        <w:rPr>
          <w:sz w:val="20"/>
          <w:szCs w:val="20"/>
          <w:lang w:val="en-GB"/>
        </w:rPr>
        <w:t xml:space="preserve">., </w:t>
      </w:r>
      <w:r w:rsidR="0029795D" w:rsidRPr="001B1D5E">
        <w:rPr>
          <w:sz w:val="20"/>
          <w:szCs w:val="20"/>
          <w:lang w:val="en-GB"/>
        </w:rPr>
        <w:t>April 2022.</w:t>
      </w:r>
      <w:bookmarkEnd w:id="58"/>
    </w:p>
    <w:p w14:paraId="619B9E94" w14:textId="69CA55EA" w:rsidR="001F615B" w:rsidRPr="001F615B" w:rsidRDefault="001F615B" w:rsidP="00B76831">
      <w:pPr>
        <w:pStyle w:val="ListParagraph"/>
        <w:numPr>
          <w:ilvl w:val="0"/>
          <w:numId w:val="12"/>
        </w:numPr>
        <w:ind w:firstLineChars="0"/>
        <w:contextualSpacing/>
        <w:jc w:val="both"/>
        <w:rPr>
          <w:sz w:val="20"/>
          <w:szCs w:val="20"/>
          <w:lang w:val="en-GB"/>
        </w:rPr>
      </w:pPr>
      <w:bookmarkStart w:id="59" w:name="_Ref110508616"/>
      <w:r w:rsidRPr="002452A0">
        <w:rPr>
          <w:sz w:val="20"/>
          <w:szCs w:val="20"/>
          <w:lang w:val="en-GB"/>
        </w:rPr>
        <w:t>3GPP TS 38.331, Radio Resource Control (RRC) protocol specification V17.0</w:t>
      </w:r>
      <w:bookmarkEnd w:id="59"/>
    </w:p>
    <w:p w14:paraId="7211E9A6" w14:textId="77777777" w:rsidR="00585919" w:rsidRPr="001B1D5E" w:rsidRDefault="00585919" w:rsidP="00B76831">
      <w:pPr>
        <w:numPr>
          <w:ilvl w:val="0"/>
          <w:numId w:val="12"/>
        </w:numPr>
        <w:overflowPunct/>
        <w:autoSpaceDE/>
        <w:autoSpaceDN/>
        <w:adjustRightInd/>
        <w:spacing w:after="120"/>
        <w:jc w:val="both"/>
        <w:textAlignment w:val="auto"/>
        <w:rPr>
          <w:lang w:val="en-GB"/>
        </w:rPr>
      </w:pPr>
      <w:bookmarkStart w:id="60" w:name="_Ref102033416"/>
      <w:r w:rsidRPr="001B1D5E">
        <w:rPr>
          <w:lang w:val="en-GB"/>
        </w:rPr>
        <w:t>3GPP TR36.866, “Network-Assisted Interference Cancellation and Suppression for LTE”.</w:t>
      </w:r>
      <w:bookmarkEnd w:id="60"/>
    </w:p>
    <w:p w14:paraId="41908A89" w14:textId="4CDDC1C4" w:rsidR="0064000E" w:rsidRPr="0033778D" w:rsidRDefault="00585919" w:rsidP="0033778D">
      <w:pPr>
        <w:numPr>
          <w:ilvl w:val="0"/>
          <w:numId w:val="12"/>
        </w:numPr>
        <w:overflowPunct/>
        <w:autoSpaceDE/>
        <w:autoSpaceDN/>
        <w:adjustRightInd/>
        <w:spacing w:after="120"/>
        <w:jc w:val="both"/>
        <w:textAlignment w:val="auto"/>
        <w:rPr>
          <w:lang w:val="en-GB"/>
        </w:rPr>
      </w:pPr>
      <w:bookmarkStart w:id="61" w:name="_Ref102036965"/>
      <w:r w:rsidRPr="00DB7B12">
        <w:rPr>
          <w:lang w:val="en-GB"/>
        </w:rPr>
        <w:t>3GPP TR38.802, “Study on New Radio Access Technology Physical Layer Aspects”</w:t>
      </w:r>
      <w:r w:rsidR="008C0D45" w:rsidRPr="00DB7B12">
        <w:rPr>
          <w:lang w:val="en-GB"/>
        </w:rPr>
        <w:t>.</w:t>
      </w:r>
      <w:bookmarkEnd w:id="52"/>
      <w:bookmarkEnd w:id="53"/>
      <w:bookmarkEnd w:id="54"/>
      <w:bookmarkEnd w:id="55"/>
      <w:bookmarkEnd w:id="56"/>
      <w:bookmarkEnd w:id="57"/>
      <w:bookmarkEnd w:id="61"/>
    </w:p>
    <w:sectPr w:rsidR="0064000E" w:rsidRPr="0033778D" w:rsidSect="0054620D">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F9EB" w14:textId="77777777" w:rsidR="000A3D04" w:rsidRDefault="000A3D04">
      <w:r>
        <w:separator/>
      </w:r>
    </w:p>
  </w:endnote>
  <w:endnote w:type="continuationSeparator" w:id="0">
    <w:p w14:paraId="11D4031E" w14:textId="77777777" w:rsidR="000A3D04" w:rsidRDefault="000A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A284" w14:textId="77777777" w:rsidR="000A3D04" w:rsidRDefault="000A3D04">
      <w:r>
        <w:separator/>
      </w:r>
    </w:p>
  </w:footnote>
  <w:footnote w:type="continuationSeparator" w:id="0">
    <w:p w14:paraId="64176DE9" w14:textId="77777777" w:rsidR="000A3D04" w:rsidRDefault="000A3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9E"/>
    <w:multiLevelType w:val="hybridMultilevel"/>
    <w:tmpl w:val="58AC2076"/>
    <w:lvl w:ilvl="0" w:tplc="BB1A8D5E">
      <w:start w:val="1"/>
      <w:numFmt w:val="lowerLetter"/>
      <w:lvlText w:val="(%1)"/>
      <w:lvlJc w:val="left"/>
      <w:pPr>
        <w:ind w:left="2760" w:hanging="360"/>
      </w:pPr>
      <w:rPr>
        <w:rFonts w:hint="default"/>
        <w:sz w:val="20"/>
        <w:szCs w:val="20"/>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4E6AAB"/>
    <w:multiLevelType w:val="hybridMultilevel"/>
    <w:tmpl w:val="D3C6F32A"/>
    <w:lvl w:ilvl="0" w:tplc="28C8FD84">
      <w:start w:val="1"/>
      <w:numFmt w:val="bullet"/>
      <w:lvlText w:val="–"/>
      <w:lvlJc w:val="left"/>
      <w:pPr>
        <w:tabs>
          <w:tab w:val="num" w:pos="720"/>
        </w:tabs>
        <w:ind w:left="720" w:hanging="360"/>
      </w:pPr>
      <w:rPr>
        <w:rFonts w:ascii="Calibri Light" w:hAnsi="Calibri Light" w:hint="default"/>
      </w:rPr>
    </w:lvl>
    <w:lvl w:ilvl="1" w:tplc="36A0E01E">
      <w:start w:val="1"/>
      <w:numFmt w:val="bullet"/>
      <w:lvlText w:val="–"/>
      <w:lvlJc w:val="left"/>
      <w:pPr>
        <w:tabs>
          <w:tab w:val="num" w:pos="1440"/>
        </w:tabs>
        <w:ind w:left="1440" w:hanging="360"/>
      </w:pPr>
      <w:rPr>
        <w:rFonts w:ascii="Calibri Light" w:hAnsi="Calibri Light" w:hint="default"/>
      </w:rPr>
    </w:lvl>
    <w:lvl w:ilvl="2" w:tplc="7A7ECDA2" w:tentative="1">
      <w:start w:val="1"/>
      <w:numFmt w:val="bullet"/>
      <w:lvlText w:val="–"/>
      <w:lvlJc w:val="left"/>
      <w:pPr>
        <w:tabs>
          <w:tab w:val="num" w:pos="2160"/>
        </w:tabs>
        <w:ind w:left="2160" w:hanging="360"/>
      </w:pPr>
      <w:rPr>
        <w:rFonts w:ascii="Calibri Light" w:hAnsi="Calibri Light" w:hint="default"/>
      </w:rPr>
    </w:lvl>
    <w:lvl w:ilvl="3" w:tplc="49825C9C" w:tentative="1">
      <w:start w:val="1"/>
      <w:numFmt w:val="bullet"/>
      <w:lvlText w:val="–"/>
      <w:lvlJc w:val="left"/>
      <w:pPr>
        <w:tabs>
          <w:tab w:val="num" w:pos="2880"/>
        </w:tabs>
        <w:ind w:left="2880" w:hanging="360"/>
      </w:pPr>
      <w:rPr>
        <w:rFonts w:ascii="Calibri Light" w:hAnsi="Calibri Light" w:hint="default"/>
      </w:rPr>
    </w:lvl>
    <w:lvl w:ilvl="4" w:tplc="44803F84" w:tentative="1">
      <w:start w:val="1"/>
      <w:numFmt w:val="bullet"/>
      <w:lvlText w:val="–"/>
      <w:lvlJc w:val="left"/>
      <w:pPr>
        <w:tabs>
          <w:tab w:val="num" w:pos="3600"/>
        </w:tabs>
        <w:ind w:left="3600" w:hanging="360"/>
      </w:pPr>
      <w:rPr>
        <w:rFonts w:ascii="Calibri Light" w:hAnsi="Calibri Light" w:hint="default"/>
      </w:rPr>
    </w:lvl>
    <w:lvl w:ilvl="5" w:tplc="F920E140" w:tentative="1">
      <w:start w:val="1"/>
      <w:numFmt w:val="bullet"/>
      <w:lvlText w:val="–"/>
      <w:lvlJc w:val="left"/>
      <w:pPr>
        <w:tabs>
          <w:tab w:val="num" w:pos="4320"/>
        </w:tabs>
        <w:ind w:left="4320" w:hanging="360"/>
      </w:pPr>
      <w:rPr>
        <w:rFonts w:ascii="Calibri Light" w:hAnsi="Calibri Light" w:hint="default"/>
      </w:rPr>
    </w:lvl>
    <w:lvl w:ilvl="6" w:tplc="014289A6" w:tentative="1">
      <w:start w:val="1"/>
      <w:numFmt w:val="bullet"/>
      <w:lvlText w:val="–"/>
      <w:lvlJc w:val="left"/>
      <w:pPr>
        <w:tabs>
          <w:tab w:val="num" w:pos="5040"/>
        </w:tabs>
        <w:ind w:left="5040" w:hanging="360"/>
      </w:pPr>
      <w:rPr>
        <w:rFonts w:ascii="Calibri Light" w:hAnsi="Calibri Light" w:hint="default"/>
      </w:rPr>
    </w:lvl>
    <w:lvl w:ilvl="7" w:tplc="3EE09526" w:tentative="1">
      <w:start w:val="1"/>
      <w:numFmt w:val="bullet"/>
      <w:lvlText w:val="–"/>
      <w:lvlJc w:val="left"/>
      <w:pPr>
        <w:tabs>
          <w:tab w:val="num" w:pos="5760"/>
        </w:tabs>
        <w:ind w:left="5760" w:hanging="360"/>
      </w:pPr>
      <w:rPr>
        <w:rFonts w:ascii="Calibri Light" w:hAnsi="Calibri Light" w:hint="default"/>
      </w:rPr>
    </w:lvl>
    <w:lvl w:ilvl="8" w:tplc="7FA8AF3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4E149C"/>
    <w:multiLevelType w:val="hybridMultilevel"/>
    <w:tmpl w:val="A1F2359C"/>
    <w:lvl w:ilvl="0" w:tplc="0E320AA4">
      <w:start w:val="1"/>
      <w:numFmt w:val="bullet"/>
      <w:lvlText w:val="-"/>
      <w:lvlJc w:val="left"/>
      <w:pPr>
        <w:tabs>
          <w:tab w:val="num" w:pos="720"/>
        </w:tabs>
        <w:ind w:left="720" w:hanging="360"/>
      </w:pPr>
      <w:rPr>
        <w:rFonts w:ascii="Arial" w:hAnsi="Arial" w:hint="default"/>
      </w:rPr>
    </w:lvl>
    <w:lvl w:ilvl="1" w:tplc="75C0CE28" w:tentative="1">
      <w:start w:val="1"/>
      <w:numFmt w:val="bullet"/>
      <w:lvlText w:val="-"/>
      <w:lvlJc w:val="left"/>
      <w:pPr>
        <w:tabs>
          <w:tab w:val="num" w:pos="1440"/>
        </w:tabs>
        <w:ind w:left="1440" w:hanging="360"/>
      </w:pPr>
      <w:rPr>
        <w:rFonts w:ascii="Arial" w:hAnsi="Arial" w:hint="default"/>
      </w:rPr>
    </w:lvl>
    <w:lvl w:ilvl="2" w:tplc="557E4ED6">
      <w:start w:val="1"/>
      <w:numFmt w:val="bullet"/>
      <w:lvlText w:val="-"/>
      <w:lvlJc w:val="left"/>
      <w:pPr>
        <w:tabs>
          <w:tab w:val="num" w:pos="2160"/>
        </w:tabs>
        <w:ind w:left="2160" w:hanging="360"/>
      </w:pPr>
      <w:rPr>
        <w:rFonts w:ascii="Arial" w:hAnsi="Arial" w:hint="default"/>
      </w:rPr>
    </w:lvl>
    <w:lvl w:ilvl="3" w:tplc="E61A085C" w:tentative="1">
      <w:start w:val="1"/>
      <w:numFmt w:val="bullet"/>
      <w:lvlText w:val="-"/>
      <w:lvlJc w:val="left"/>
      <w:pPr>
        <w:tabs>
          <w:tab w:val="num" w:pos="2880"/>
        </w:tabs>
        <w:ind w:left="2880" w:hanging="360"/>
      </w:pPr>
      <w:rPr>
        <w:rFonts w:ascii="Arial" w:hAnsi="Arial" w:hint="default"/>
      </w:rPr>
    </w:lvl>
    <w:lvl w:ilvl="4" w:tplc="FAA418AA" w:tentative="1">
      <w:start w:val="1"/>
      <w:numFmt w:val="bullet"/>
      <w:lvlText w:val="-"/>
      <w:lvlJc w:val="left"/>
      <w:pPr>
        <w:tabs>
          <w:tab w:val="num" w:pos="3600"/>
        </w:tabs>
        <w:ind w:left="3600" w:hanging="360"/>
      </w:pPr>
      <w:rPr>
        <w:rFonts w:ascii="Arial" w:hAnsi="Arial" w:hint="default"/>
      </w:rPr>
    </w:lvl>
    <w:lvl w:ilvl="5" w:tplc="7E285B94" w:tentative="1">
      <w:start w:val="1"/>
      <w:numFmt w:val="bullet"/>
      <w:lvlText w:val="-"/>
      <w:lvlJc w:val="left"/>
      <w:pPr>
        <w:tabs>
          <w:tab w:val="num" w:pos="4320"/>
        </w:tabs>
        <w:ind w:left="4320" w:hanging="360"/>
      </w:pPr>
      <w:rPr>
        <w:rFonts w:ascii="Arial" w:hAnsi="Arial" w:hint="default"/>
      </w:rPr>
    </w:lvl>
    <w:lvl w:ilvl="6" w:tplc="BB14834C" w:tentative="1">
      <w:start w:val="1"/>
      <w:numFmt w:val="bullet"/>
      <w:lvlText w:val="-"/>
      <w:lvlJc w:val="left"/>
      <w:pPr>
        <w:tabs>
          <w:tab w:val="num" w:pos="5040"/>
        </w:tabs>
        <w:ind w:left="5040" w:hanging="360"/>
      </w:pPr>
      <w:rPr>
        <w:rFonts w:ascii="Arial" w:hAnsi="Arial" w:hint="default"/>
      </w:rPr>
    </w:lvl>
    <w:lvl w:ilvl="7" w:tplc="9878E342" w:tentative="1">
      <w:start w:val="1"/>
      <w:numFmt w:val="bullet"/>
      <w:lvlText w:val="-"/>
      <w:lvlJc w:val="left"/>
      <w:pPr>
        <w:tabs>
          <w:tab w:val="num" w:pos="5760"/>
        </w:tabs>
        <w:ind w:left="5760" w:hanging="360"/>
      </w:pPr>
      <w:rPr>
        <w:rFonts w:ascii="Arial" w:hAnsi="Arial" w:hint="default"/>
      </w:rPr>
    </w:lvl>
    <w:lvl w:ilvl="8" w:tplc="D8C21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9503EF"/>
    <w:multiLevelType w:val="hybridMultilevel"/>
    <w:tmpl w:val="7FFC7C04"/>
    <w:lvl w:ilvl="0" w:tplc="3CD65CB0">
      <w:start w:val="1"/>
      <w:numFmt w:val="lowerLetter"/>
      <w:lvlText w:val="(%1)"/>
      <w:lvlJc w:val="left"/>
      <w:pPr>
        <w:ind w:left="2760" w:hanging="360"/>
      </w:pPr>
      <w:rPr>
        <w:rFonts w:hint="default"/>
        <w:sz w:val="20"/>
        <w:szCs w:val="20"/>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2"/>
  </w:num>
  <w:num w:numId="5">
    <w:abstractNumId w:val="1"/>
  </w:num>
  <w:num w:numId="6">
    <w:abstractNumId w:val="15"/>
  </w:num>
  <w:num w:numId="7">
    <w:abstractNumId w:val="17"/>
  </w:num>
  <w:num w:numId="8">
    <w:abstractNumId w:val="2"/>
  </w:num>
  <w:num w:numId="9">
    <w:abstractNumId w:val="6"/>
  </w:num>
  <w:num w:numId="10">
    <w:abstractNumId w:val="14"/>
  </w:num>
  <w:num w:numId="11">
    <w:abstractNumId w:val="8"/>
  </w:num>
  <w:num w:numId="12">
    <w:abstractNumId w:val="10"/>
  </w:num>
  <w:num w:numId="13">
    <w:abstractNumId w:val="19"/>
  </w:num>
  <w:num w:numId="14">
    <w:abstractNumId w:val="5"/>
  </w:num>
  <w:num w:numId="15">
    <w:abstractNumId w:val="9"/>
  </w:num>
  <w:num w:numId="16">
    <w:abstractNumId w:val="21"/>
  </w:num>
  <w:num w:numId="17">
    <w:abstractNumId w:val="18"/>
  </w:num>
  <w:num w:numId="18">
    <w:abstractNumId w:val="12"/>
  </w:num>
  <w:num w:numId="19">
    <w:abstractNumId w:val="11"/>
  </w:num>
  <w:num w:numId="20">
    <w:abstractNumId w:val="16"/>
  </w:num>
  <w:num w:numId="21">
    <w:abstractNumId w:val="0"/>
  </w:num>
  <w:num w:numId="22">
    <w:abstractNumId w:val="7"/>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BC"/>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3F1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C8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23"/>
    <w:rsid w:val="00032476"/>
    <w:rsid w:val="00032482"/>
    <w:rsid w:val="00032504"/>
    <w:rsid w:val="00032815"/>
    <w:rsid w:val="00032AB8"/>
    <w:rsid w:val="00032D94"/>
    <w:rsid w:val="00032FA4"/>
    <w:rsid w:val="0003329A"/>
    <w:rsid w:val="000334CC"/>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9EC"/>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7AB"/>
    <w:rsid w:val="0006090F"/>
    <w:rsid w:val="000609DD"/>
    <w:rsid w:val="00060E55"/>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0B8"/>
    <w:rsid w:val="00066170"/>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326"/>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622"/>
    <w:rsid w:val="0009171D"/>
    <w:rsid w:val="00091874"/>
    <w:rsid w:val="00091ABA"/>
    <w:rsid w:val="00091CDD"/>
    <w:rsid w:val="00091F2A"/>
    <w:rsid w:val="00092DCD"/>
    <w:rsid w:val="00093236"/>
    <w:rsid w:val="000932E9"/>
    <w:rsid w:val="000932F0"/>
    <w:rsid w:val="0009385F"/>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D04"/>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6B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15"/>
    <w:rsid w:val="001053B5"/>
    <w:rsid w:val="001057FE"/>
    <w:rsid w:val="001058AA"/>
    <w:rsid w:val="00105D36"/>
    <w:rsid w:val="00105E3E"/>
    <w:rsid w:val="0010634F"/>
    <w:rsid w:val="00106509"/>
    <w:rsid w:val="00106657"/>
    <w:rsid w:val="00106BB1"/>
    <w:rsid w:val="00106C56"/>
    <w:rsid w:val="00106F7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C67"/>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47D"/>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448"/>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2C3"/>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20F"/>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30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021"/>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2C9"/>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C67"/>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D1D"/>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6F4"/>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C77"/>
    <w:rsid w:val="00191D27"/>
    <w:rsid w:val="00192184"/>
    <w:rsid w:val="00192228"/>
    <w:rsid w:val="0019227A"/>
    <w:rsid w:val="001922A6"/>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AD"/>
    <w:rsid w:val="001A32CC"/>
    <w:rsid w:val="001A34F0"/>
    <w:rsid w:val="001A36EC"/>
    <w:rsid w:val="001A374B"/>
    <w:rsid w:val="001A38C1"/>
    <w:rsid w:val="001A3C8C"/>
    <w:rsid w:val="001A3DC8"/>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4D"/>
    <w:rsid w:val="001C65C4"/>
    <w:rsid w:val="001C6A82"/>
    <w:rsid w:val="001C6AF5"/>
    <w:rsid w:val="001C6B98"/>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4CD3"/>
    <w:rsid w:val="001F4DBC"/>
    <w:rsid w:val="001F5963"/>
    <w:rsid w:val="001F5AB5"/>
    <w:rsid w:val="001F5B17"/>
    <w:rsid w:val="001F5B85"/>
    <w:rsid w:val="001F5C1D"/>
    <w:rsid w:val="001F5C69"/>
    <w:rsid w:val="001F6117"/>
    <w:rsid w:val="001F615B"/>
    <w:rsid w:val="001F6245"/>
    <w:rsid w:val="001F6330"/>
    <w:rsid w:val="001F6764"/>
    <w:rsid w:val="001F67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0C"/>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07E"/>
    <w:rsid w:val="002161FE"/>
    <w:rsid w:val="00216769"/>
    <w:rsid w:val="00216781"/>
    <w:rsid w:val="00216915"/>
    <w:rsid w:val="00216DA6"/>
    <w:rsid w:val="00216FD5"/>
    <w:rsid w:val="00217097"/>
    <w:rsid w:val="002170DA"/>
    <w:rsid w:val="002177B7"/>
    <w:rsid w:val="0021785D"/>
    <w:rsid w:val="00217874"/>
    <w:rsid w:val="0021791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4FBC"/>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68A"/>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7C7"/>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B08"/>
    <w:rsid w:val="00237C27"/>
    <w:rsid w:val="00237F5C"/>
    <w:rsid w:val="00240118"/>
    <w:rsid w:val="00240246"/>
    <w:rsid w:val="002407DF"/>
    <w:rsid w:val="00240833"/>
    <w:rsid w:val="00240947"/>
    <w:rsid w:val="00240B80"/>
    <w:rsid w:val="00240BB6"/>
    <w:rsid w:val="00240FA5"/>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0E"/>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9CC"/>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67D6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1FC5"/>
    <w:rsid w:val="00292079"/>
    <w:rsid w:val="00292162"/>
    <w:rsid w:val="002925C0"/>
    <w:rsid w:val="00292670"/>
    <w:rsid w:val="00292677"/>
    <w:rsid w:val="002928C7"/>
    <w:rsid w:val="00292C41"/>
    <w:rsid w:val="00292D3E"/>
    <w:rsid w:val="00292EAA"/>
    <w:rsid w:val="002931F3"/>
    <w:rsid w:val="00293248"/>
    <w:rsid w:val="0029328E"/>
    <w:rsid w:val="002933C6"/>
    <w:rsid w:val="0029343B"/>
    <w:rsid w:val="002934AE"/>
    <w:rsid w:val="00293548"/>
    <w:rsid w:val="00293764"/>
    <w:rsid w:val="00293805"/>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1D0E"/>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7EF"/>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47"/>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5B"/>
    <w:rsid w:val="002F0C72"/>
    <w:rsid w:val="002F0CC9"/>
    <w:rsid w:val="002F12DE"/>
    <w:rsid w:val="002F12E9"/>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3F83"/>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255"/>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5BE"/>
    <w:rsid w:val="00314A6B"/>
    <w:rsid w:val="0031510E"/>
    <w:rsid w:val="0031543D"/>
    <w:rsid w:val="00315AF2"/>
    <w:rsid w:val="00315DC4"/>
    <w:rsid w:val="00315E98"/>
    <w:rsid w:val="00315F2F"/>
    <w:rsid w:val="0031640B"/>
    <w:rsid w:val="0031649F"/>
    <w:rsid w:val="00316954"/>
    <w:rsid w:val="00316ABD"/>
    <w:rsid w:val="00316D12"/>
    <w:rsid w:val="00316D4A"/>
    <w:rsid w:val="00316E79"/>
    <w:rsid w:val="00317034"/>
    <w:rsid w:val="0031740C"/>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0D5"/>
    <w:rsid w:val="003371C6"/>
    <w:rsid w:val="0033729B"/>
    <w:rsid w:val="0033773A"/>
    <w:rsid w:val="0033778D"/>
    <w:rsid w:val="003379C8"/>
    <w:rsid w:val="00337AAC"/>
    <w:rsid w:val="00337CDF"/>
    <w:rsid w:val="00337D23"/>
    <w:rsid w:val="00337F21"/>
    <w:rsid w:val="00340196"/>
    <w:rsid w:val="00340268"/>
    <w:rsid w:val="00340277"/>
    <w:rsid w:val="003405ED"/>
    <w:rsid w:val="00340AB7"/>
    <w:rsid w:val="00340CF6"/>
    <w:rsid w:val="00340FB7"/>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5C8"/>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74B"/>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7FC"/>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E4"/>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6F33"/>
    <w:rsid w:val="0038760B"/>
    <w:rsid w:val="00387985"/>
    <w:rsid w:val="00387D06"/>
    <w:rsid w:val="00387DC8"/>
    <w:rsid w:val="00387FA8"/>
    <w:rsid w:val="003904E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02"/>
    <w:rsid w:val="003950CC"/>
    <w:rsid w:val="00395263"/>
    <w:rsid w:val="0039549D"/>
    <w:rsid w:val="00395902"/>
    <w:rsid w:val="00395A9B"/>
    <w:rsid w:val="00395B97"/>
    <w:rsid w:val="00395BB3"/>
    <w:rsid w:val="00395E81"/>
    <w:rsid w:val="0039604D"/>
    <w:rsid w:val="0039631D"/>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29B"/>
    <w:rsid w:val="003A47AA"/>
    <w:rsid w:val="003A47B4"/>
    <w:rsid w:val="003A4AD0"/>
    <w:rsid w:val="003A4B3C"/>
    <w:rsid w:val="003A4FE1"/>
    <w:rsid w:val="003A5175"/>
    <w:rsid w:val="003A557A"/>
    <w:rsid w:val="003A5844"/>
    <w:rsid w:val="003A5C38"/>
    <w:rsid w:val="003A5CD5"/>
    <w:rsid w:val="003A5D4E"/>
    <w:rsid w:val="003A5E89"/>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5E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4F2"/>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C5E"/>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10"/>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70"/>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6D"/>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98E"/>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A3"/>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789"/>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ACD"/>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C79"/>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950"/>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3EAF"/>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A3"/>
    <w:rsid w:val="004815B9"/>
    <w:rsid w:val="004816AB"/>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69"/>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99"/>
    <w:rsid w:val="00486CA7"/>
    <w:rsid w:val="00486D5B"/>
    <w:rsid w:val="00486E91"/>
    <w:rsid w:val="004871C6"/>
    <w:rsid w:val="004871CF"/>
    <w:rsid w:val="0048732C"/>
    <w:rsid w:val="0048734B"/>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E94"/>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75"/>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1E3"/>
    <w:rsid w:val="004D02EE"/>
    <w:rsid w:val="004D03BA"/>
    <w:rsid w:val="004D04A2"/>
    <w:rsid w:val="004D0597"/>
    <w:rsid w:val="004D071D"/>
    <w:rsid w:val="004D0A8C"/>
    <w:rsid w:val="004D0C80"/>
    <w:rsid w:val="004D0CE3"/>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8C6"/>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2C3"/>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13"/>
    <w:rsid w:val="00500526"/>
    <w:rsid w:val="005005E1"/>
    <w:rsid w:val="00500930"/>
    <w:rsid w:val="00500BC7"/>
    <w:rsid w:val="00500D45"/>
    <w:rsid w:val="00500FFD"/>
    <w:rsid w:val="00501087"/>
    <w:rsid w:val="005011D4"/>
    <w:rsid w:val="00501285"/>
    <w:rsid w:val="0050138E"/>
    <w:rsid w:val="00501487"/>
    <w:rsid w:val="0050192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E3"/>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564"/>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A5D"/>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176"/>
    <w:rsid w:val="005533AD"/>
    <w:rsid w:val="005534F2"/>
    <w:rsid w:val="005537F8"/>
    <w:rsid w:val="005538AB"/>
    <w:rsid w:val="00553910"/>
    <w:rsid w:val="00553B83"/>
    <w:rsid w:val="005540ED"/>
    <w:rsid w:val="00554157"/>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60"/>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8B2"/>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BB4"/>
    <w:rsid w:val="00580C79"/>
    <w:rsid w:val="0058102B"/>
    <w:rsid w:val="005817FE"/>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6EA"/>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1CE5"/>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2EC"/>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66A"/>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2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77B"/>
    <w:rsid w:val="005C0A0B"/>
    <w:rsid w:val="005C0A5E"/>
    <w:rsid w:val="005C0B1C"/>
    <w:rsid w:val="005C0D0E"/>
    <w:rsid w:val="005C141C"/>
    <w:rsid w:val="005C16B1"/>
    <w:rsid w:val="005C16F4"/>
    <w:rsid w:val="005C19AB"/>
    <w:rsid w:val="005C1FBD"/>
    <w:rsid w:val="005C24A1"/>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670"/>
    <w:rsid w:val="005C7861"/>
    <w:rsid w:val="005C7B3B"/>
    <w:rsid w:val="005C7EAE"/>
    <w:rsid w:val="005D0470"/>
    <w:rsid w:val="005D048E"/>
    <w:rsid w:val="005D0520"/>
    <w:rsid w:val="005D0765"/>
    <w:rsid w:val="005D0A7B"/>
    <w:rsid w:val="005D1122"/>
    <w:rsid w:val="005D12AD"/>
    <w:rsid w:val="005D1530"/>
    <w:rsid w:val="005D168A"/>
    <w:rsid w:val="005D17FB"/>
    <w:rsid w:val="005D1877"/>
    <w:rsid w:val="005D18D1"/>
    <w:rsid w:val="005D1B6B"/>
    <w:rsid w:val="005D1D1B"/>
    <w:rsid w:val="005D1D88"/>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B93"/>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17E"/>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8D3"/>
    <w:rsid w:val="00625940"/>
    <w:rsid w:val="00625CEF"/>
    <w:rsid w:val="00625F45"/>
    <w:rsid w:val="00626601"/>
    <w:rsid w:val="00626736"/>
    <w:rsid w:val="006267F7"/>
    <w:rsid w:val="0062680B"/>
    <w:rsid w:val="00626829"/>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94A"/>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5F0E"/>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0E"/>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488"/>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67AEE"/>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1FD9"/>
    <w:rsid w:val="006726F4"/>
    <w:rsid w:val="006726F6"/>
    <w:rsid w:val="00672AFA"/>
    <w:rsid w:val="00672B0E"/>
    <w:rsid w:val="00672B77"/>
    <w:rsid w:val="00672D55"/>
    <w:rsid w:val="00672D6D"/>
    <w:rsid w:val="00672E4A"/>
    <w:rsid w:val="00673097"/>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B56"/>
    <w:rsid w:val="00692E18"/>
    <w:rsid w:val="00692F88"/>
    <w:rsid w:val="00692FDA"/>
    <w:rsid w:val="006931C4"/>
    <w:rsid w:val="00693A18"/>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1E9"/>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D99"/>
    <w:rsid w:val="006A0EF1"/>
    <w:rsid w:val="006A1608"/>
    <w:rsid w:val="006A1999"/>
    <w:rsid w:val="006A1A70"/>
    <w:rsid w:val="006A1ABD"/>
    <w:rsid w:val="006A1AC3"/>
    <w:rsid w:val="006A1B28"/>
    <w:rsid w:val="006A1CBF"/>
    <w:rsid w:val="006A1CC3"/>
    <w:rsid w:val="006A1DB7"/>
    <w:rsid w:val="006A20E3"/>
    <w:rsid w:val="006A2530"/>
    <w:rsid w:val="006A28B0"/>
    <w:rsid w:val="006A2A12"/>
    <w:rsid w:val="006A2B42"/>
    <w:rsid w:val="006A2FDE"/>
    <w:rsid w:val="006A3397"/>
    <w:rsid w:val="006A347D"/>
    <w:rsid w:val="006A34C5"/>
    <w:rsid w:val="006A34DE"/>
    <w:rsid w:val="006A3925"/>
    <w:rsid w:val="006A39C1"/>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90B"/>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C34"/>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0CA"/>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5DE4"/>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1"/>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44E"/>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47"/>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5D"/>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D31"/>
    <w:rsid w:val="00756EAC"/>
    <w:rsid w:val="007570EC"/>
    <w:rsid w:val="00757445"/>
    <w:rsid w:val="007574AB"/>
    <w:rsid w:val="00757564"/>
    <w:rsid w:val="0075778E"/>
    <w:rsid w:val="007579C5"/>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4920"/>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2F3"/>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677"/>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5E"/>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600"/>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3E25"/>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D08"/>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724"/>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69"/>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535"/>
    <w:rsid w:val="007C774A"/>
    <w:rsid w:val="007C7B6E"/>
    <w:rsid w:val="007C7DB3"/>
    <w:rsid w:val="007C7DEA"/>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875"/>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4E35"/>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099"/>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D23"/>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99F"/>
    <w:rsid w:val="00803C6A"/>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2"/>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CF4"/>
    <w:rsid w:val="00813FF6"/>
    <w:rsid w:val="00814156"/>
    <w:rsid w:val="00814242"/>
    <w:rsid w:val="00814253"/>
    <w:rsid w:val="0081430C"/>
    <w:rsid w:val="00814378"/>
    <w:rsid w:val="00814511"/>
    <w:rsid w:val="00814910"/>
    <w:rsid w:val="00814922"/>
    <w:rsid w:val="00814987"/>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2"/>
    <w:rsid w:val="00840964"/>
    <w:rsid w:val="00840B09"/>
    <w:rsid w:val="00840B75"/>
    <w:rsid w:val="00840F7A"/>
    <w:rsid w:val="0084113E"/>
    <w:rsid w:val="00841439"/>
    <w:rsid w:val="00842038"/>
    <w:rsid w:val="00842139"/>
    <w:rsid w:val="0084218C"/>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0CC"/>
    <w:rsid w:val="008467ED"/>
    <w:rsid w:val="00846B91"/>
    <w:rsid w:val="00847222"/>
    <w:rsid w:val="00847343"/>
    <w:rsid w:val="00847350"/>
    <w:rsid w:val="00847504"/>
    <w:rsid w:val="00847582"/>
    <w:rsid w:val="00847730"/>
    <w:rsid w:val="00847770"/>
    <w:rsid w:val="00847860"/>
    <w:rsid w:val="00847B43"/>
    <w:rsid w:val="00847D7E"/>
    <w:rsid w:val="00847DE2"/>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DD8"/>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59E"/>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177"/>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58"/>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2B1"/>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A9E"/>
    <w:rsid w:val="008B0F52"/>
    <w:rsid w:val="008B110C"/>
    <w:rsid w:val="008B1817"/>
    <w:rsid w:val="008B19AD"/>
    <w:rsid w:val="008B19D4"/>
    <w:rsid w:val="008B1A4E"/>
    <w:rsid w:val="008B1D2D"/>
    <w:rsid w:val="008B1D84"/>
    <w:rsid w:val="008B1F13"/>
    <w:rsid w:val="008B1FA1"/>
    <w:rsid w:val="008B204F"/>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0CD"/>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52F"/>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3B1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C90"/>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42F"/>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7BB"/>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76C"/>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5D6F"/>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3F8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1F8"/>
    <w:rsid w:val="009A037B"/>
    <w:rsid w:val="009A039D"/>
    <w:rsid w:val="009A0AAF"/>
    <w:rsid w:val="009A0D3D"/>
    <w:rsid w:val="009A0F59"/>
    <w:rsid w:val="009A1046"/>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63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778"/>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1FF7"/>
    <w:rsid w:val="009D20C1"/>
    <w:rsid w:val="009D25F7"/>
    <w:rsid w:val="009D2956"/>
    <w:rsid w:val="009D2B2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257"/>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04"/>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AE6"/>
    <w:rsid w:val="00A21B43"/>
    <w:rsid w:val="00A21C30"/>
    <w:rsid w:val="00A21CA7"/>
    <w:rsid w:val="00A21DD1"/>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5E8"/>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DFD"/>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12B"/>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90B"/>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585"/>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4D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2FF4"/>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D11"/>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151"/>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60A"/>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DCA"/>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40"/>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07C"/>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81E"/>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4E"/>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636"/>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9B0"/>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71E"/>
    <w:rsid w:val="00B23CFB"/>
    <w:rsid w:val="00B23F91"/>
    <w:rsid w:val="00B24170"/>
    <w:rsid w:val="00B24698"/>
    <w:rsid w:val="00B249AD"/>
    <w:rsid w:val="00B24DA3"/>
    <w:rsid w:val="00B24FF5"/>
    <w:rsid w:val="00B25498"/>
    <w:rsid w:val="00B25689"/>
    <w:rsid w:val="00B25AA9"/>
    <w:rsid w:val="00B25D59"/>
    <w:rsid w:val="00B25F78"/>
    <w:rsid w:val="00B260D1"/>
    <w:rsid w:val="00B26195"/>
    <w:rsid w:val="00B262F0"/>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B23"/>
    <w:rsid w:val="00B43D58"/>
    <w:rsid w:val="00B43E85"/>
    <w:rsid w:val="00B44073"/>
    <w:rsid w:val="00B440CD"/>
    <w:rsid w:val="00B443D0"/>
    <w:rsid w:val="00B444B1"/>
    <w:rsid w:val="00B444F4"/>
    <w:rsid w:val="00B4457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945"/>
    <w:rsid w:val="00B54A8E"/>
    <w:rsid w:val="00B54BFF"/>
    <w:rsid w:val="00B54E3B"/>
    <w:rsid w:val="00B55129"/>
    <w:rsid w:val="00B552EE"/>
    <w:rsid w:val="00B55338"/>
    <w:rsid w:val="00B557B2"/>
    <w:rsid w:val="00B5583F"/>
    <w:rsid w:val="00B558D8"/>
    <w:rsid w:val="00B559A9"/>
    <w:rsid w:val="00B55A5F"/>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1C"/>
    <w:rsid w:val="00B60C6E"/>
    <w:rsid w:val="00B60F00"/>
    <w:rsid w:val="00B60F9F"/>
    <w:rsid w:val="00B6139B"/>
    <w:rsid w:val="00B614F8"/>
    <w:rsid w:val="00B617BB"/>
    <w:rsid w:val="00B619BE"/>
    <w:rsid w:val="00B61AD2"/>
    <w:rsid w:val="00B61E77"/>
    <w:rsid w:val="00B61EB9"/>
    <w:rsid w:val="00B61FEB"/>
    <w:rsid w:val="00B62018"/>
    <w:rsid w:val="00B62239"/>
    <w:rsid w:val="00B625C5"/>
    <w:rsid w:val="00B62A08"/>
    <w:rsid w:val="00B62ACA"/>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9D"/>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40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831"/>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4FF"/>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3D20"/>
    <w:rsid w:val="00BC4269"/>
    <w:rsid w:val="00BC4373"/>
    <w:rsid w:val="00BC46D1"/>
    <w:rsid w:val="00BC4713"/>
    <w:rsid w:val="00BC49CE"/>
    <w:rsid w:val="00BC5193"/>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A3"/>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6A"/>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159"/>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23E"/>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53"/>
    <w:rsid w:val="00C059C8"/>
    <w:rsid w:val="00C05D67"/>
    <w:rsid w:val="00C05EA7"/>
    <w:rsid w:val="00C06126"/>
    <w:rsid w:val="00C0629E"/>
    <w:rsid w:val="00C06BE6"/>
    <w:rsid w:val="00C06C41"/>
    <w:rsid w:val="00C06C63"/>
    <w:rsid w:val="00C06D0A"/>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9CB"/>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04"/>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9D4"/>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3C9"/>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39"/>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B5A"/>
    <w:rsid w:val="00C91DBB"/>
    <w:rsid w:val="00C91F90"/>
    <w:rsid w:val="00C92086"/>
    <w:rsid w:val="00C920C2"/>
    <w:rsid w:val="00C92141"/>
    <w:rsid w:val="00C92420"/>
    <w:rsid w:val="00C9257B"/>
    <w:rsid w:val="00C9285F"/>
    <w:rsid w:val="00C92AFD"/>
    <w:rsid w:val="00C92DD5"/>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B8F"/>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2EB2"/>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537"/>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488"/>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99"/>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39"/>
    <w:rsid w:val="00D10EA7"/>
    <w:rsid w:val="00D110BC"/>
    <w:rsid w:val="00D11113"/>
    <w:rsid w:val="00D11187"/>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861"/>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71F"/>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072"/>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4EDA"/>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3D3"/>
    <w:rsid w:val="00D9456A"/>
    <w:rsid w:val="00D94960"/>
    <w:rsid w:val="00D949C7"/>
    <w:rsid w:val="00D94A68"/>
    <w:rsid w:val="00D94E69"/>
    <w:rsid w:val="00D952B1"/>
    <w:rsid w:val="00D952E4"/>
    <w:rsid w:val="00D9535E"/>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04"/>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7A4"/>
    <w:rsid w:val="00DA5800"/>
    <w:rsid w:val="00DA5867"/>
    <w:rsid w:val="00DA5A2E"/>
    <w:rsid w:val="00DA5A8D"/>
    <w:rsid w:val="00DA5F72"/>
    <w:rsid w:val="00DA6145"/>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9B5"/>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A48"/>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15B"/>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5CDE"/>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51D"/>
    <w:rsid w:val="00E24B99"/>
    <w:rsid w:val="00E24BF6"/>
    <w:rsid w:val="00E24DBB"/>
    <w:rsid w:val="00E24DF6"/>
    <w:rsid w:val="00E2523B"/>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2D7"/>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573"/>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9FB"/>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7D2"/>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30"/>
    <w:rsid w:val="00E910DF"/>
    <w:rsid w:val="00E91445"/>
    <w:rsid w:val="00E9170B"/>
    <w:rsid w:val="00E91898"/>
    <w:rsid w:val="00E91A07"/>
    <w:rsid w:val="00E91B21"/>
    <w:rsid w:val="00E91C6C"/>
    <w:rsid w:val="00E91F44"/>
    <w:rsid w:val="00E9203C"/>
    <w:rsid w:val="00E921C2"/>
    <w:rsid w:val="00E922A3"/>
    <w:rsid w:val="00E92312"/>
    <w:rsid w:val="00E92424"/>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0ED3"/>
    <w:rsid w:val="00EA10B9"/>
    <w:rsid w:val="00EA12D5"/>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2EC"/>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2EA"/>
    <w:rsid w:val="00EB454F"/>
    <w:rsid w:val="00EB455F"/>
    <w:rsid w:val="00EB45A2"/>
    <w:rsid w:val="00EB4918"/>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AA8"/>
    <w:rsid w:val="00ED1B82"/>
    <w:rsid w:val="00ED1D33"/>
    <w:rsid w:val="00ED1D53"/>
    <w:rsid w:val="00ED1D56"/>
    <w:rsid w:val="00ED20BB"/>
    <w:rsid w:val="00ED2269"/>
    <w:rsid w:val="00ED2D1C"/>
    <w:rsid w:val="00ED3090"/>
    <w:rsid w:val="00ED30B8"/>
    <w:rsid w:val="00ED3116"/>
    <w:rsid w:val="00ED3537"/>
    <w:rsid w:val="00ED38D0"/>
    <w:rsid w:val="00ED3A88"/>
    <w:rsid w:val="00ED3B3D"/>
    <w:rsid w:val="00ED3CB1"/>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32"/>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05"/>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ECD"/>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07"/>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2E7D"/>
    <w:rsid w:val="00F438DD"/>
    <w:rsid w:val="00F43D4A"/>
    <w:rsid w:val="00F43F37"/>
    <w:rsid w:val="00F44098"/>
    <w:rsid w:val="00F44146"/>
    <w:rsid w:val="00F44783"/>
    <w:rsid w:val="00F44A58"/>
    <w:rsid w:val="00F44A95"/>
    <w:rsid w:val="00F44C29"/>
    <w:rsid w:val="00F44E07"/>
    <w:rsid w:val="00F44E33"/>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1B6"/>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924"/>
    <w:rsid w:val="00F76DE6"/>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A9"/>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C47"/>
    <w:rsid w:val="00FA5E4D"/>
    <w:rsid w:val="00FA62B3"/>
    <w:rsid w:val="00FA63C7"/>
    <w:rsid w:val="00FA65A1"/>
    <w:rsid w:val="00FA674D"/>
    <w:rsid w:val="00FA69E5"/>
    <w:rsid w:val="00FA709F"/>
    <w:rsid w:val="00FA7335"/>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DAC"/>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1BD"/>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8727207">
      <w:bodyDiv w:val="1"/>
      <w:marLeft w:val="0"/>
      <w:marRight w:val="0"/>
      <w:marTop w:val="0"/>
      <w:marBottom w:val="0"/>
      <w:divBdr>
        <w:top w:val="none" w:sz="0" w:space="0" w:color="auto"/>
        <w:left w:val="none" w:sz="0" w:space="0" w:color="auto"/>
        <w:bottom w:val="none" w:sz="0" w:space="0" w:color="auto"/>
        <w:right w:val="none" w:sz="0" w:space="0" w:color="auto"/>
      </w:divBdr>
      <w:divsChild>
        <w:div w:id="234819470">
          <w:marLeft w:val="1699"/>
          <w:marRight w:val="0"/>
          <w:marTop w:val="12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0256176">
      <w:bodyDiv w:val="1"/>
      <w:marLeft w:val="0"/>
      <w:marRight w:val="0"/>
      <w:marTop w:val="0"/>
      <w:marBottom w:val="0"/>
      <w:divBdr>
        <w:top w:val="none" w:sz="0" w:space="0" w:color="auto"/>
        <w:left w:val="none" w:sz="0" w:space="0" w:color="auto"/>
        <w:bottom w:val="none" w:sz="0" w:space="0" w:color="auto"/>
        <w:right w:val="none" w:sz="0" w:space="0" w:color="auto"/>
      </w:divBdr>
      <w:divsChild>
        <w:div w:id="462040303">
          <w:marLeft w:val="1267"/>
          <w:marRight w:val="0"/>
          <w:marTop w:val="180"/>
          <w:marBottom w:val="0"/>
          <w:divBdr>
            <w:top w:val="none" w:sz="0" w:space="0" w:color="auto"/>
            <w:left w:val="none" w:sz="0" w:space="0" w:color="auto"/>
            <w:bottom w:val="none" w:sz="0" w:space="0" w:color="auto"/>
            <w:right w:val="none" w:sz="0" w:space="0" w:color="auto"/>
          </w:divBdr>
        </w:div>
      </w:divsChild>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9</Pages>
  <Words>4286</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R1-2212250</vt:lpstr>
    </vt:vector>
  </TitlesOfParts>
  <Company>MediaTek</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R1-2301595</dc:title>
  <dc:subject/>
  <dc:creator/>
  <cp:keywords/>
  <cp:lastModifiedBy>Mohammed Al-Imari</cp:lastModifiedBy>
  <cp:revision>511</cp:revision>
  <cp:lastPrinted>2017-10-02T09:51:00Z</cp:lastPrinted>
  <dcterms:created xsi:type="dcterms:W3CDTF">2022-04-28T00:33:00Z</dcterms:created>
  <dcterms:modified xsi:type="dcterms:W3CDTF">2023-02-17T13:52:00Z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2022-11-01T17:23:08Z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8f8c27e6-39eb-40bb-aefb-884d1feeb912</vt:lpwstr>
  </property>
  <property fmtid="{D5CDD505-2E9C-101B-9397-08002B2CF9AE}" pid="42" name="MSIP_Label_83bcef13-7cac-433f-ba1d-47a323951816_ContentBits">
    <vt:lpwstr>0</vt:lpwstr>
  </property>
</Properties>
</file>